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55410" w14:textId="77777777" w:rsidR="00A65B54" w:rsidRDefault="00A65B54">
      <w:pPr>
        <w:rPr>
          <w:rFonts w:ascii="Arial" w:eastAsia="Arial" w:hAnsi="Arial" w:cs="Arial"/>
          <w:color w:val="000000"/>
          <w:sz w:val="22"/>
        </w:rPr>
      </w:pPr>
    </w:p>
    <w:p w14:paraId="37F692B9" w14:textId="77777777" w:rsidR="00A65B54" w:rsidRDefault="00000000">
      <w:pPr>
        <w:jc w:val="center"/>
        <w:rPr>
          <w:rFonts w:ascii="Arial" w:eastAsia="Arial" w:hAnsi="Arial" w:cs="Arial"/>
          <w:b/>
          <w:color w:val="000000"/>
          <w:sz w:val="22"/>
        </w:rPr>
      </w:pPr>
      <w:r>
        <w:rPr>
          <w:rFonts w:ascii="Arial" w:eastAsia="Arial" w:hAnsi="Arial" w:cs="Arial"/>
          <w:b/>
          <w:color w:val="000000"/>
          <w:sz w:val="22"/>
        </w:rPr>
        <w:t>PROCESO STANDARTAS</w:t>
      </w:r>
    </w:p>
    <w:p w14:paraId="68035B64" w14:textId="299A8EDF" w:rsidR="00A65B54" w:rsidRDefault="00645DC8" w:rsidP="00645DC8">
      <w:pPr>
        <w:pStyle w:val="Antrat1"/>
        <w:numPr>
          <w:ilvl w:val="0"/>
          <w:numId w:val="0"/>
        </w:numPr>
        <w:jc w:val="center"/>
        <w:rPr>
          <w:rFonts w:eastAsia="Arial"/>
          <w:color w:val="000000"/>
          <w:sz w:val="22"/>
        </w:rPr>
      </w:pPr>
      <w:bookmarkStart w:id="0" w:name="_Toc1011"/>
      <w:r w:rsidRPr="00645DC8">
        <w:rPr>
          <w:rFonts w:eastAsia="Arial"/>
          <w:bCs w:val="0"/>
          <w:color w:val="000000"/>
          <w:kern w:val="0"/>
          <w:sz w:val="22"/>
          <w:szCs w:val="24"/>
        </w:rPr>
        <w:t xml:space="preserve">1.5.2.4. Nekilnojamo turto nuomos paslaugos  pardavimo sutarties  sudarymo procesas </w:t>
      </w:r>
      <w:r>
        <w:rPr>
          <w:rFonts w:eastAsia="Arial"/>
          <w:color w:val="000000"/>
          <w:sz w:val="22"/>
        </w:rPr>
        <w:t>Pagrindinė proceso informacija</w:t>
      </w:r>
    </w:p>
    <w:bookmarkEnd w:id="0"/>
    <w:p w14:paraId="63D5F174" w14:textId="77777777" w:rsidR="00A65B54" w:rsidRDefault="00A65B54">
      <w:pPr>
        <w:rPr>
          <w:rFonts w:ascii="Arial" w:eastAsia="Arial" w:hAnsi="Arial"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6"/>
        <w:gridCol w:w="394"/>
        <w:gridCol w:w="591"/>
        <w:gridCol w:w="2661"/>
        <w:gridCol w:w="3252"/>
      </w:tblGrid>
      <w:tr w:rsidR="00A65B54" w14:paraId="1A2710B5" w14:textId="77777777">
        <w:tc>
          <w:tcPr>
            <w:tcW w:w="5000" w:type="pct"/>
            <w:gridSpan w:val="5"/>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219CDF16" w14:textId="77777777" w:rsidR="00A65B54" w:rsidRDefault="00000000">
            <w:pPr>
              <w:pStyle w:val="LEFTHEAD"/>
            </w:pPr>
            <w:r>
              <w:t>Pagrindinė informacija:</w:t>
            </w:r>
          </w:p>
        </w:tc>
      </w:tr>
      <w:tr w:rsidR="000436D1" w:rsidRPr="00491CEC" w14:paraId="6E698E78" w14:textId="77777777" w:rsidTr="006D79F6">
        <w:tc>
          <w:tcPr>
            <w:tcW w:w="2000" w:type="pct"/>
            <w:gridSpan w:val="3"/>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tcPr>
          <w:p w14:paraId="67B8AEB1" w14:textId="30AA2254" w:rsidR="000436D1" w:rsidRPr="000436D1" w:rsidRDefault="000436D1" w:rsidP="000436D1">
            <w:pPr>
              <w:pStyle w:val="LEFTHEAD"/>
              <w:rPr>
                <w:lang w:val="pl-PL"/>
              </w:rPr>
            </w:pPr>
            <w:r w:rsidRPr="00DC53B7">
              <w:t>Proceso savininkas</w:t>
            </w:r>
          </w:p>
        </w:tc>
        <w:tc>
          <w:tcPr>
            <w:tcW w:w="3000"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312AC52" w14:textId="24DA27A9" w:rsidR="000436D1" w:rsidRPr="000436D1" w:rsidRDefault="000436D1" w:rsidP="000436D1">
            <w:pPr>
              <w:pStyle w:val="LEFT"/>
              <w:rPr>
                <w:lang w:val="pl-PL"/>
              </w:rPr>
            </w:pPr>
            <w:r w:rsidRPr="00EE3EF9">
              <w:rPr>
                <w:lang w:val="pl-PL"/>
              </w:rPr>
              <w:t xml:space="preserve">AB "Lietuvos geležinkeliai" </w:t>
            </w:r>
            <w:r w:rsidR="00EE3EF9" w:rsidRPr="00EE3EF9">
              <w:rPr>
                <w:lang w:val="pl-PL"/>
              </w:rPr>
              <w:t>–</w:t>
            </w:r>
            <w:r w:rsidRPr="00EE3EF9">
              <w:rPr>
                <w:lang w:val="pl-PL"/>
              </w:rPr>
              <w:t xml:space="preserve"> </w:t>
            </w:r>
            <w:r w:rsidR="00EE3EF9" w:rsidRPr="00EE3EF9">
              <w:rPr>
                <w:lang w:val="pl-PL"/>
              </w:rPr>
              <w:t>Turto valdymo paslaugos</w:t>
            </w:r>
            <w:r w:rsidRPr="00EE3EF9">
              <w:rPr>
                <w:lang w:val="pl-PL"/>
              </w:rPr>
              <w:t xml:space="preserve"> - Turto komercija ir valdymas  - Vadovas</w:t>
            </w:r>
          </w:p>
        </w:tc>
      </w:tr>
      <w:tr w:rsidR="000436D1" w14:paraId="2D65432F" w14:textId="77777777" w:rsidTr="00424FEA">
        <w:tc>
          <w:tcPr>
            <w:tcW w:w="2000" w:type="pct"/>
            <w:gridSpan w:val="3"/>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tcPr>
          <w:p w14:paraId="628B72C6" w14:textId="6631530D" w:rsidR="000436D1" w:rsidRDefault="000436D1" w:rsidP="000436D1">
            <w:pPr>
              <w:pStyle w:val="LEFTHEAD"/>
            </w:pPr>
            <w:r w:rsidRPr="00DC53B7">
              <w:t>Proceso vadovas</w:t>
            </w:r>
          </w:p>
        </w:tc>
        <w:tc>
          <w:tcPr>
            <w:tcW w:w="3000"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1ABF0666" w14:textId="5A4AE8D9" w:rsidR="000436D1" w:rsidRDefault="000436D1" w:rsidP="000436D1">
            <w:pPr>
              <w:pStyle w:val="LEFT"/>
            </w:pPr>
            <w:r w:rsidRPr="00DC53B7">
              <w:t xml:space="preserve">AB „Lietuvos geležinkeliai“  - </w:t>
            </w:r>
            <w:r w:rsidR="00EE3EF9">
              <w:t>Turto valdymo paslaugos-</w:t>
            </w:r>
            <w:r w:rsidRPr="00DC53B7">
              <w:t>Turto komercija ir valdymas  - Turto komercija - Vadovas</w:t>
            </w:r>
          </w:p>
        </w:tc>
      </w:tr>
      <w:tr w:rsidR="00645DC8" w14:paraId="6D8C62F7" w14:textId="77777777">
        <w:tc>
          <w:tcPr>
            <w:tcW w:w="2000" w:type="pct"/>
            <w:gridSpan w:val="3"/>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20CF2A88" w14:textId="77777777" w:rsidR="00645DC8" w:rsidRDefault="00645DC8" w:rsidP="00645DC8">
            <w:pPr>
              <w:pStyle w:val="LEFTHEAD"/>
            </w:pPr>
            <w:r>
              <w:t>Veiklos vienetas, kuriam taikomas procesas</w:t>
            </w:r>
          </w:p>
        </w:tc>
        <w:tc>
          <w:tcPr>
            <w:tcW w:w="3000"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69F6FAF" w14:textId="60303743" w:rsidR="00645DC8" w:rsidRDefault="00645DC8" w:rsidP="00645DC8">
            <w:pPr>
              <w:pStyle w:val="LEFT"/>
            </w:pPr>
            <w:r w:rsidRPr="009752AF">
              <w:t>AB „Lietuvos geležinkeliai“ , AB „LTG Infra“, AB „LTG Cargo“, UAB „LTG Link“</w:t>
            </w:r>
          </w:p>
        </w:tc>
      </w:tr>
      <w:tr w:rsidR="00A65B54" w14:paraId="2B1C3122" w14:textId="77777777">
        <w:tc>
          <w:tcPr>
            <w:tcW w:w="5000" w:type="pct"/>
            <w:gridSpan w:val="5"/>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3DBD8821" w14:textId="77777777" w:rsidR="00A65B54" w:rsidRDefault="00000000">
            <w:pPr>
              <w:pStyle w:val="LEFTHEAD"/>
            </w:pPr>
            <w:r>
              <w:t>Proceso dalyviai:</w:t>
            </w:r>
          </w:p>
        </w:tc>
      </w:tr>
      <w:tr w:rsidR="00A65B54" w14:paraId="67389784" w14:textId="77777777">
        <w:tc>
          <w:tcPr>
            <w:tcW w:w="2000"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395A257" w14:textId="77777777" w:rsidR="00A65B54" w:rsidRDefault="00000000">
            <w:pPr>
              <w:pStyle w:val="LEFT"/>
            </w:pPr>
            <w:r>
              <w:t>Tvirtintojas</w:t>
            </w:r>
          </w:p>
        </w:tc>
        <w:tc>
          <w:tcPr>
            <w:tcW w:w="3000"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8E692BA" w14:textId="77777777" w:rsidR="00645DC8" w:rsidRDefault="00645DC8" w:rsidP="00645DC8">
            <w:pPr>
              <w:pStyle w:val="LEFT"/>
            </w:pPr>
            <w:r>
              <w:t>AB „LTG Infra“ - Techninė priežiūra - Vadovas</w:t>
            </w:r>
          </w:p>
          <w:p w14:paraId="1097A7D7" w14:textId="77777777" w:rsidR="00645DC8" w:rsidRDefault="00645DC8" w:rsidP="00645DC8">
            <w:pPr>
              <w:pStyle w:val="LEFT"/>
            </w:pPr>
            <w:r>
              <w:t>AB „LTG Infra“ - Terminalų valdymas ir plėtra - Vadovas</w:t>
            </w:r>
          </w:p>
          <w:p w14:paraId="250E9469" w14:textId="77777777" w:rsidR="00645DC8" w:rsidRDefault="00645DC8" w:rsidP="00645DC8">
            <w:pPr>
              <w:pStyle w:val="LEFT"/>
            </w:pPr>
            <w:r>
              <w:t>AB „Lietuvos geležinkeliai“  - Turto valdymo paslaugos – Vadovas</w:t>
            </w:r>
          </w:p>
          <w:p w14:paraId="3B60478D" w14:textId="77777777" w:rsidR="00645DC8" w:rsidRDefault="00645DC8" w:rsidP="00645DC8">
            <w:pPr>
              <w:pStyle w:val="LEFT"/>
            </w:pPr>
            <w:r>
              <w:t>AB „Lietuvos geležinkeliai“  - Turto valdymo paslaugos - Turto komercija ir valdymas – Vadovas</w:t>
            </w:r>
          </w:p>
          <w:p w14:paraId="77A5CA08" w14:textId="77777777" w:rsidR="00645DC8" w:rsidRDefault="00645DC8" w:rsidP="00645DC8">
            <w:pPr>
              <w:pStyle w:val="LEFT"/>
            </w:pPr>
            <w:r>
              <w:t>AB „LTG Cargo“ – Korporatyvinių paslaugų valdymas – Vadovas</w:t>
            </w:r>
          </w:p>
          <w:p w14:paraId="4E81DE43" w14:textId="2E447EA2" w:rsidR="00A65B54" w:rsidRDefault="00645DC8" w:rsidP="00645DC8">
            <w:pPr>
              <w:pStyle w:val="LEFT"/>
            </w:pPr>
            <w:r>
              <w:t>UAB „LTG Link“ – Verslo palaikymas - Vadovas</w:t>
            </w:r>
          </w:p>
        </w:tc>
      </w:tr>
      <w:tr w:rsidR="00A65B54" w14:paraId="5D35A297" w14:textId="77777777">
        <w:tc>
          <w:tcPr>
            <w:tcW w:w="2000"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119815E" w14:textId="77777777" w:rsidR="00A65B54" w:rsidRDefault="00000000">
            <w:pPr>
              <w:pStyle w:val="LEFT"/>
            </w:pPr>
            <w:r>
              <w:t>Sutarties administratorius</w:t>
            </w:r>
          </w:p>
        </w:tc>
        <w:tc>
          <w:tcPr>
            <w:tcW w:w="3000"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265D404" w14:textId="77777777" w:rsidR="00645DC8" w:rsidRDefault="00645DC8" w:rsidP="00645DC8">
            <w:pPr>
              <w:pStyle w:val="LEFT"/>
            </w:pPr>
            <w:r>
              <w:t>AB „LTG Infra“ - Terminalų valdymas ir plėtra - Terminalų valdymas - Paslaugų valdymas - Ekspertas</w:t>
            </w:r>
          </w:p>
          <w:p w14:paraId="07835C52" w14:textId="77777777" w:rsidR="00645DC8" w:rsidRDefault="00645DC8" w:rsidP="00645DC8">
            <w:pPr>
              <w:pStyle w:val="LEFT"/>
            </w:pPr>
            <w:r>
              <w:t>AB „LTG Infra“ - Techninė priežiūra - Šiaulių regiono veiklos užtikrinimas - Vadovas</w:t>
            </w:r>
          </w:p>
          <w:p w14:paraId="55797879" w14:textId="77777777" w:rsidR="00645DC8" w:rsidRDefault="00645DC8" w:rsidP="00645DC8">
            <w:pPr>
              <w:pStyle w:val="LEFT"/>
            </w:pPr>
            <w:r>
              <w:t>AB „LTG Infra“ - Strategija ir valdymas - Strategija ir plėtra - Veiklos administravimas - Projektų koordinatorius</w:t>
            </w:r>
          </w:p>
          <w:p w14:paraId="300FAD20" w14:textId="77777777" w:rsidR="00645DC8" w:rsidRDefault="00645DC8" w:rsidP="00645DC8">
            <w:pPr>
              <w:pStyle w:val="LEFT"/>
            </w:pPr>
            <w:r>
              <w:t>AB „LTG Infra“ - Techninė priežiūra - Klaipėdos regiono veiklos užtikrinimas – Vadovas</w:t>
            </w:r>
          </w:p>
          <w:p w14:paraId="64715F11" w14:textId="77777777" w:rsidR="00645DC8" w:rsidRPr="00645DC8" w:rsidRDefault="00645DC8" w:rsidP="00645DC8">
            <w:pPr>
              <w:pStyle w:val="LEFT"/>
              <w:rPr>
                <w:lang w:val="pl-PL"/>
              </w:rPr>
            </w:pPr>
            <w:r w:rsidRPr="00645DC8">
              <w:rPr>
                <w:lang w:val="pl-PL"/>
              </w:rPr>
              <w:t>AB „LTG Infra“ - Infrastruktūros paslaugos – Pardavimai -  Vadovas</w:t>
            </w:r>
          </w:p>
          <w:p w14:paraId="6C590316" w14:textId="77777777" w:rsidR="00645DC8" w:rsidRPr="00645DC8" w:rsidRDefault="00645DC8" w:rsidP="00645DC8">
            <w:pPr>
              <w:pStyle w:val="LEFT"/>
              <w:rPr>
                <w:lang w:val="pl-PL"/>
              </w:rPr>
            </w:pPr>
            <w:r w:rsidRPr="00645DC8">
              <w:rPr>
                <w:lang w:val="pl-PL"/>
              </w:rPr>
              <w:t>AB „LTG Infra“ - Infrastruktūros paslaugos – Vadovas</w:t>
            </w:r>
          </w:p>
          <w:p w14:paraId="2DD8631F" w14:textId="77777777" w:rsidR="00645DC8" w:rsidRPr="00645DC8" w:rsidRDefault="00645DC8" w:rsidP="00645DC8">
            <w:pPr>
              <w:pStyle w:val="LEFT"/>
              <w:rPr>
                <w:lang w:val="pl-PL"/>
              </w:rPr>
            </w:pPr>
            <w:r w:rsidRPr="00645DC8">
              <w:rPr>
                <w:lang w:val="pl-PL"/>
              </w:rPr>
              <w:t>AB „LTG Infra“ - Infrastruktūros paslaugos – Pardavimai – Komandos vadovas</w:t>
            </w:r>
          </w:p>
          <w:p w14:paraId="615F671D" w14:textId="77777777" w:rsidR="00645DC8" w:rsidRPr="00645DC8" w:rsidRDefault="00645DC8" w:rsidP="00645DC8">
            <w:pPr>
              <w:pStyle w:val="LEFT"/>
              <w:rPr>
                <w:lang w:val="pl-PL"/>
              </w:rPr>
            </w:pPr>
            <w:r w:rsidRPr="00645DC8">
              <w:rPr>
                <w:lang w:val="pl-PL"/>
              </w:rPr>
              <w:t>AB „Lietuvos geležinkeliai“  - Turto valdymo paslaugos – Vadovas</w:t>
            </w:r>
          </w:p>
          <w:p w14:paraId="2403AEFC" w14:textId="77777777" w:rsidR="00645DC8" w:rsidRPr="00645DC8" w:rsidRDefault="00645DC8" w:rsidP="00645DC8">
            <w:pPr>
              <w:pStyle w:val="LEFT"/>
              <w:rPr>
                <w:lang w:val="pl-PL"/>
              </w:rPr>
            </w:pPr>
            <w:r w:rsidRPr="00645DC8">
              <w:rPr>
                <w:lang w:val="pl-PL"/>
              </w:rPr>
              <w:t>AB „Lietuvos geležinkeliai“  - Turto valdymo paslaugos - Turto komercija ir valdymas – Vadovas</w:t>
            </w:r>
          </w:p>
          <w:p w14:paraId="3C5CBF28" w14:textId="77777777" w:rsidR="00645DC8" w:rsidRPr="00645DC8" w:rsidRDefault="00645DC8" w:rsidP="00645DC8">
            <w:pPr>
              <w:pStyle w:val="LEFT"/>
              <w:rPr>
                <w:lang w:val="pl-PL"/>
              </w:rPr>
            </w:pPr>
            <w:r w:rsidRPr="00645DC8">
              <w:rPr>
                <w:lang w:val="pl-PL"/>
              </w:rPr>
              <w:t>AB „LTG Cargo“ – Korporatyvinių paslaugų valdymas – Vadovas</w:t>
            </w:r>
          </w:p>
          <w:p w14:paraId="4A84A187" w14:textId="4D1E318E" w:rsidR="00A65B54" w:rsidRDefault="00645DC8" w:rsidP="00645DC8">
            <w:pPr>
              <w:pStyle w:val="LEFT"/>
            </w:pPr>
            <w:r>
              <w:t>UAB „LTG Link“ – Verslo palaikymas - Vadovas</w:t>
            </w:r>
          </w:p>
        </w:tc>
      </w:tr>
      <w:tr w:rsidR="00A65B54" w14:paraId="1F06CB94" w14:textId="77777777">
        <w:tc>
          <w:tcPr>
            <w:tcW w:w="2000"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DAB6B65" w14:textId="77777777" w:rsidR="00A65B54" w:rsidRDefault="00000000">
            <w:pPr>
              <w:pStyle w:val="LEFT"/>
            </w:pPr>
            <w:r>
              <w:t>Iniciatorius</w:t>
            </w:r>
          </w:p>
        </w:tc>
        <w:tc>
          <w:tcPr>
            <w:tcW w:w="3000"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443FB26" w14:textId="7818841D" w:rsidR="00A65B54" w:rsidRDefault="00645DC8">
            <w:pPr>
              <w:pStyle w:val="LEFT"/>
            </w:pPr>
            <w:r>
              <w:rPr>
                <w:lang w:val="lt-LT"/>
              </w:rPr>
              <w:t>Žiūrėti šios rolės pirmojo veiksmo - aprašymą</w:t>
            </w:r>
          </w:p>
        </w:tc>
      </w:tr>
      <w:tr w:rsidR="00A65B54" w14:paraId="2E7D96A6" w14:textId="77777777">
        <w:tc>
          <w:tcPr>
            <w:tcW w:w="2000"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2BCC062" w14:textId="77777777" w:rsidR="00A65B54" w:rsidRDefault="00000000">
            <w:pPr>
              <w:pStyle w:val="LEFT"/>
            </w:pPr>
            <w:r>
              <w:t>Funkcinių duomenų valdytojas</w:t>
            </w:r>
          </w:p>
        </w:tc>
        <w:tc>
          <w:tcPr>
            <w:tcW w:w="3000"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5DCDD370" w14:textId="77777777" w:rsidR="00645DC8" w:rsidRDefault="00645DC8" w:rsidP="00645DC8">
            <w:pPr>
              <w:pStyle w:val="LEFT"/>
            </w:pPr>
            <w:r>
              <w:t>AB „LTG Infra“ - Terminalų valdymas ir plėtra - Terminalų valdymas - Paslaugų valdymas - Ekspertas</w:t>
            </w:r>
          </w:p>
          <w:p w14:paraId="3C3553DE" w14:textId="77777777" w:rsidR="00645DC8" w:rsidRDefault="00645DC8" w:rsidP="00645DC8">
            <w:pPr>
              <w:pStyle w:val="LEFT"/>
            </w:pPr>
            <w:r>
              <w:t>AB „LTG Infra“ - Techninė priežiūra - Šiaulių regiono veiklos užtikrinimas - Vadovas</w:t>
            </w:r>
          </w:p>
          <w:p w14:paraId="64DF3FDE" w14:textId="77777777" w:rsidR="00645DC8" w:rsidRDefault="00645DC8" w:rsidP="00645DC8">
            <w:pPr>
              <w:pStyle w:val="LEFT"/>
            </w:pPr>
            <w:r>
              <w:lastRenderedPageBreak/>
              <w:t>AB „LTG Infra“ - Strategija ir valdymas - Strategija ir plėtra - Veiklos administravimas - Projektų koordinatorius</w:t>
            </w:r>
          </w:p>
          <w:p w14:paraId="63A207C8" w14:textId="77777777" w:rsidR="00645DC8" w:rsidRDefault="00645DC8" w:rsidP="00645DC8">
            <w:pPr>
              <w:pStyle w:val="LEFT"/>
            </w:pPr>
            <w:r>
              <w:t>AB „LTG Infra“ - Techninė priežiūra - Klaipėdos regiono veiklos užtikrinimas – Vadovas</w:t>
            </w:r>
          </w:p>
          <w:p w14:paraId="5A115F38" w14:textId="77777777" w:rsidR="00645DC8" w:rsidRPr="00645DC8" w:rsidRDefault="00645DC8" w:rsidP="00645DC8">
            <w:pPr>
              <w:pStyle w:val="LEFT"/>
              <w:rPr>
                <w:lang w:val="pl-PL"/>
              </w:rPr>
            </w:pPr>
            <w:r w:rsidRPr="00645DC8">
              <w:rPr>
                <w:lang w:val="pl-PL"/>
              </w:rPr>
              <w:t>AB „LTG Infra“ - Infrastruktūros paslaugos – Pardavimai -  Vadovas</w:t>
            </w:r>
          </w:p>
          <w:p w14:paraId="677EBFD5" w14:textId="77777777" w:rsidR="00645DC8" w:rsidRPr="00645DC8" w:rsidRDefault="00645DC8" w:rsidP="00645DC8">
            <w:pPr>
              <w:pStyle w:val="LEFT"/>
              <w:rPr>
                <w:lang w:val="pl-PL"/>
              </w:rPr>
            </w:pPr>
            <w:r w:rsidRPr="00645DC8">
              <w:rPr>
                <w:lang w:val="pl-PL"/>
              </w:rPr>
              <w:t>AB „LTG Infra“ - Infrastruktūros paslaugos – Vadovas</w:t>
            </w:r>
          </w:p>
          <w:p w14:paraId="04923C14" w14:textId="77777777" w:rsidR="00645DC8" w:rsidRPr="00645DC8" w:rsidRDefault="00645DC8" w:rsidP="00645DC8">
            <w:pPr>
              <w:pStyle w:val="LEFT"/>
              <w:rPr>
                <w:lang w:val="pl-PL"/>
              </w:rPr>
            </w:pPr>
            <w:r w:rsidRPr="00645DC8">
              <w:rPr>
                <w:lang w:val="pl-PL"/>
              </w:rPr>
              <w:t>AB „LTG Infra“ - Infrastruktūros paslaugos – Pardavimai – Komandos vadovas</w:t>
            </w:r>
          </w:p>
          <w:p w14:paraId="79177BBE" w14:textId="77777777" w:rsidR="00645DC8" w:rsidRPr="00645DC8" w:rsidRDefault="00645DC8" w:rsidP="00645DC8">
            <w:pPr>
              <w:pStyle w:val="LEFT"/>
              <w:rPr>
                <w:lang w:val="pl-PL"/>
              </w:rPr>
            </w:pPr>
            <w:r w:rsidRPr="00645DC8">
              <w:rPr>
                <w:lang w:val="pl-PL"/>
              </w:rPr>
              <w:t>AB „Lietuvos geležinkeliai“  - Turto valdymo paslaugos – Vadovas</w:t>
            </w:r>
          </w:p>
          <w:p w14:paraId="14F315DF" w14:textId="77777777" w:rsidR="00645DC8" w:rsidRPr="00645DC8" w:rsidRDefault="00645DC8" w:rsidP="00645DC8">
            <w:pPr>
              <w:pStyle w:val="LEFT"/>
              <w:rPr>
                <w:lang w:val="pl-PL"/>
              </w:rPr>
            </w:pPr>
            <w:r w:rsidRPr="00645DC8">
              <w:rPr>
                <w:lang w:val="pl-PL"/>
              </w:rPr>
              <w:t>AB „Lietuvos geležinkeliai“  - Turto valdymo paslaugos - Turto komercija ir valdymas – Vadovas</w:t>
            </w:r>
          </w:p>
          <w:p w14:paraId="4C9ACA94" w14:textId="77777777" w:rsidR="00645DC8" w:rsidRPr="00645DC8" w:rsidRDefault="00645DC8" w:rsidP="00645DC8">
            <w:pPr>
              <w:pStyle w:val="LEFT"/>
              <w:rPr>
                <w:lang w:val="pl-PL"/>
              </w:rPr>
            </w:pPr>
            <w:r w:rsidRPr="00645DC8">
              <w:rPr>
                <w:lang w:val="pl-PL"/>
              </w:rPr>
              <w:t>AB „LTG Cargo“ – Korporatyvinių paslaugų valdymas – Vadovas</w:t>
            </w:r>
          </w:p>
          <w:p w14:paraId="7E2D64B6" w14:textId="695A5CF1" w:rsidR="00A65B54" w:rsidRDefault="00645DC8" w:rsidP="00645DC8">
            <w:pPr>
              <w:pStyle w:val="LEFT"/>
            </w:pPr>
            <w:r>
              <w:t>UAB „LTG Link“ – Verslo palaikymas - Vadovas</w:t>
            </w:r>
          </w:p>
        </w:tc>
      </w:tr>
      <w:tr w:rsidR="00A65B54" w14:paraId="23B8C90D" w14:textId="77777777">
        <w:tc>
          <w:tcPr>
            <w:tcW w:w="2000"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30933F3" w14:textId="77777777" w:rsidR="00A65B54" w:rsidRDefault="00000000">
            <w:pPr>
              <w:pStyle w:val="LEFT"/>
            </w:pPr>
            <w:r>
              <w:lastRenderedPageBreak/>
              <w:t>Tvirtintojas (Verslo vieneto vadovas)</w:t>
            </w:r>
          </w:p>
        </w:tc>
        <w:tc>
          <w:tcPr>
            <w:tcW w:w="3000"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61A828E" w14:textId="77777777" w:rsidR="00645DC8" w:rsidRDefault="00645DC8" w:rsidP="00645DC8">
            <w:pPr>
              <w:pStyle w:val="LEFT"/>
            </w:pPr>
            <w:r>
              <w:t>AB „LTG Infra“ - Techninė priežiūra - Vadovas</w:t>
            </w:r>
          </w:p>
          <w:p w14:paraId="020F519D" w14:textId="77777777" w:rsidR="00645DC8" w:rsidRDefault="00645DC8" w:rsidP="00645DC8">
            <w:pPr>
              <w:pStyle w:val="LEFT"/>
            </w:pPr>
            <w:r>
              <w:t>AB „LTG Infra“ - Terminalų valdymas ir plėtra - Vadovas</w:t>
            </w:r>
          </w:p>
          <w:p w14:paraId="20BAA737" w14:textId="77777777" w:rsidR="00645DC8" w:rsidRDefault="00645DC8" w:rsidP="00645DC8">
            <w:pPr>
              <w:pStyle w:val="LEFT"/>
            </w:pPr>
            <w:r>
              <w:t>AB „Lietuvos geležinkeliai“  - Turto valdymo paslaugos – Vadovas</w:t>
            </w:r>
          </w:p>
          <w:p w14:paraId="33AD9EC8" w14:textId="77777777" w:rsidR="00645DC8" w:rsidRDefault="00645DC8" w:rsidP="00645DC8">
            <w:pPr>
              <w:pStyle w:val="LEFT"/>
            </w:pPr>
            <w:r>
              <w:t>AB „Lietuvos geležinkeliai“  - Turto valdymo paslaugos - Turto komercija ir valdymas – Vadovas</w:t>
            </w:r>
          </w:p>
          <w:p w14:paraId="26B1392C" w14:textId="77777777" w:rsidR="00645DC8" w:rsidRDefault="00645DC8" w:rsidP="00645DC8">
            <w:pPr>
              <w:pStyle w:val="LEFT"/>
            </w:pPr>
            <w:r>
              <w:t>AB „LTG Cargo“ – Korporatyvinių paslaugų valdymas – Vadovas</w:t>
            </w:r>
          </w:p>
          <w:p w14:paraId="331ABC5B" w14:textId="77EB10A4" w:rsidR="00A65B54" w:rsidRDefault="00645DC8" w:rsidP="00645DC8">
            <w:pPr>
              <w:pStyle w:val="LEFT"/>
            </w:pPr>
            <w:r>
              <w:t>UAB „LTG Link“ – Verslo palaikymas - Vadovas</w:t>
            </w:r>
          </w:p>
        </w:tc>
      </w:tr>
      <w:tr w:rsidR="00A65B54" w14:paraId="0C62EB3F" w14:textId="77777777">
        <w:tc>
          <w:tcPr>
            <w:tcW w:w="5000" w:type="pct"/>
            <w:gridSpan w:val="5"/>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0305B0F9" w14:textId="77777777" w:rsidR="00A65B54" w:rsidRDefault="00000000">
            <w:pPr>
              <w:pStyle w:val="LEFTHEAD"/>
            </w:pPr>
            <w:r>
              <w:t>Kita informacija:</w:t>
            </w:r>
          </w:p>
        </w:tc>
      </w:tr>
      <w:tr w:rsidR="00A65B54" w:rsidRPr="00491CEC" w14:paraId="5006A234" w14:textId="77777777">
        <w:tc>
          <w:tcPr>
            <w:tcW w:w="5000" w:type="pct"/>
            <w:gridSpan w:val="5"/>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49E77880" w14:textId="77777777" w:rsidR="00A65B54" w:rsidRPr="00645DC8" w:rsidRDefault="00000000">
            <w:pPr>
              <w:pStyle w:val="LEFTHEAD"/>
              <w:rPr>
                <w:lang w:val="pl-PL"/>
              </w:rPr>
            </w:pPr>
            <w:r w:rsidRPr="00645DC8">
              <w:rPr>
                <w:lang w:val="pl-PL"/>
              </w:rPr>
              <w:t>Su proceso vykdymu susiję teisės aktai</w:t>
            </w:r>
          </w:p>
        </w:tc>
      </w:tr>
      <w:tr w:rsidR="00A65B54" w14:paraId="1A682244" w14:textId="77777777">
        <w:tc>
          <w:tcPr>
            <w:tcW w:w="5000" w:type="pct"/>
            <w:gridSpan w:val="5"/>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29897C09" w14:textId="77777777" w:rsidR="00A65B54" w:rsidRDefault="00000000">
            <w:pPr>
              <w:pStyle w:val="LEFTHEAD"/>
            </w:pPr>
            <w:r>
              <w:t>Proceso standarto priedai</w:t>
            </w:r>
          </w:p>
        </w:tc>
      </w:tr>
      <w:tr w:rsidR="00A65B54" w14:paraId="29D3B915" w14:textId="77777777">
        <w:tc>
          <w:tcPr>
            <w:tcW w:w="15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7F738A3" w14:textId="77777777" w:rsidR="00A65B54" w:rsidRDefault="00000000">
            <w:pPr>
              <w:pStyle w:val="LEFT"/>
            </w:pPr>
            <w:r>
              <w:t>Nuosavybės teise valdomo  turto nuomos organizavimas  (2 priedas)</w:t>
            </w:r>
          </w:p>
        </w:tc>
        <w:tc>
          <w:tcPr>
            <w:tcW w:w="3500" w:type="pct"/>
            <w:gridSpan w:val="4"/>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524485F4" w14:textId="77777777" w:rsidR="00A65B54" w:rsidRDefault="00000000">
            <w:pPr>
              <w:pStyle w:val="LEFT"/>
            </w:pPr>
            <w:hyperlink r:id="rId7" w:history="1">
              <w:r>
                <w:t>https://ltg.ariscloud.com:443/documents/rest/v2/data/0/0/-/6a7650f5-2437-49df-815b-f28385af4448?tenant=default&amp;revision=-1</w:t>
              </w:r>
            </w:hyperlink>
          </w:p>
        </w:tc>
      </w:tr>
      <w:tr w:rsidR="00A65B54" w14:paraId="729EF683" w14:textId="77777777">
        <w:tc>
          <w:tcPr>
            <w:tcW w:w="15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A70337F" w14:textId="77777777" w:rsidR="00A65B54" w:rsidRDefault="00000000">
            <w:pPr>
              <w:pStyle w:val="LEFT"/>
            </w:pPr>
            <w:r>
              <w:t>Viešosios geležinkelių infrastruktūros   nuomos organizavimas  (1 priedas)</w:t>
            </w:r>
          </w:p>
        </w:tc>
        <w:tc>
          <w:tcPr>
            <w:tcW w:w="3500" w:type="pct"/>
            <w:gridSpan w:val="4"/>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D7452F2" w14:textId="77777777" w:rsidR="00A65B54" w:rsidRDefault="00000000">
            <w:pPr>
              <w:pStyle w:val="LEFT"/>
            </w:pPr>
            <w:hyperlink r:id="rId8" w:history="1">
              <w:r>
                <w:t>https://ltg.ariscloud.com:443/documents/rest/v2/data/0/0/-/d4822d6b-46f8-4e37-b159-7fb6309acb9f?tenant=default&amp;revision=-1</w:t>
              </w:r>
            </w:hyperlink>
          </w:p>
        </w:tc>
      </w:tr>
      <w:tr w:rsidR="00A65B54" w14:paraId="2FE07CF2" w14:textId="77777777">
        <w:tc>
          <w:tcPr>
            <w:tcW w:w="5000" w:type="pct"/>
            <w:gridSpan w:val="5"/>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5763EF4F" w14:textId="77777777" w:rsidR="00A65B54" w:rsidRDefault="00000000">
            <w:pPr>
              <w:pStyle w:val="TOPHEAD"/>
            </w:pPr>
            <w:r>
              <w:t>Pagrindiniai proceso rodikliai (PPI)</w:t>
            </w:r>
          </w:p>
        </w:tc>
      </w:tr>
      <w:tr w:rsidR="00A65B54" w14:paraId="6A822FE3" w14:textId="77777777">
        <w:tc>
          <w:tcPr>
            <w:tcW w:w="1700" w:type="pct"/>
            <w:gridSpan w:val="2"/>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5226222F" w14:textId="77777777" w:rsidR="00A65B54" w:rsidRDefault="00000000">
            <w:pPr>
              <w:pStyle w:val="TOPHEAD"/>
            </w:pPr>
            <w:r>
              <w:t>PPI pavadinimas</w:t>
            </w:r>
          </w:p>
        </w:tc>
        <w:tc>
          <w:tcPr>
            <w:tcW w:w="1650" w:type="pct"/>
            <w:gridSpan w:val="2"/>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1BFA4FD9" w14:textId="77777777" w:rsidR="00A65B54" w:rsidRDefault="00000000">
            <w:pPr>
              <w:pStyle w:val="TOPHEAD"/>
            </w:pPr>
            <w:r>
              <w:t>PPI matavimo būdas ir šaltinis</w:t>
            </w:r>
          </w:p>
        </w:tc>
        <w:tc>
          <w:tcPr>
            <w:tcW w:w="1650" w:type="pct"/>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6CD60B73" w14:textId="77777777" w:rsidR="00A65B54" w:rsidRDefault="00000000">
            <w:pPr>
              <w:pStyle w:val="TOPHEAD"/>
            </w:pPr>
            <w:r>
              <w:t>Periodiškumas</w:t>
            </w:r>
          </w:p>
        </w:tc>
      </w:tr>
      <w:tr w:rsidR="00645DC8" w14:paraId="00CE7878" w14:textId="77777777" w:rsidTr="00F75244">
        <w:tc>
          <w:tcPr>
            <w:tcW w:w="1700"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5673D511" w14:textId="39E5ACE2" w:rsidR="00645DC8" w:rsidRDefault="00645DC8" w:rsidP="00645DC8">
            <w:pPr>
              <w:pStyle w:val="TOPHEAD"/>
            </w:pPr>
            <w:r>
              <w:rPr>
                <w:b w:val="0"/>
                <w:shd w:val="clear" w:color="auto" w:fill="auto"/>
              </w:rPr>
              <w:t>Nuomotinų objektų  užimtumas proc.</w:t>
            </w:r>
          </w:p>
        </w:tc>
        <w:tc>
          <w:tcPr>
            <w:tcW w:w="1650"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4C1DEB1" w14:textId="3B2629E7" w:rsidR="00645DC8" w:rsidRDefault="00645DC8" w:rsidP="00645DC8">
            <w:pPr>
              <w:pStyle w:val="TOPHEAD"/>
              <w:jc w:val="both"/>
            </w:pPr>
            <w:r>
              <w:rPr>
                <w:b w:val="0"/>
                <w:shd w:val="clear" w:color="auto" w:fill="auto"/>
              </w:rPr>
              <w:t>Išnuomoto ploto ir metiniame nuomos plane numatyto ploto santykis. S4H REFX ataskaita apie NT užimtumą. Požymiai ties NT vienetu - kas yra skirta nuomai.</w:t>
            </w:r>
          </w:p>
        </w:tc>
        <w:tc>
          <w:tcPr>
            <w:tcW w:w="16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C890D43" w14:textId="4222478D" w:rsidR="00645DC8" w:rsidRDefault="00645DC8" w:rsidP="00645DC8">
            <w:pPr>
              <w:pStyle w:val="TOPHEAD"/>
            </w:pPr>
            <w:r>
              <w:rPr>
                <w:b w:val="0"/>
                <w:shd w:val="clear" w:color="auto" w:fill="auto"/>
              </w:rPr>
              <w:t>Kas ketvirtį</w:t>
            </w:r>
          </w:p>
        </w:tc>
      </w:tr>
      <w:tr w:rsidR="00645DC8" w14:paraId="4332D300" w14:textId="77777777">
        <w:tc>
          <w:tcPr>
            <w:tcW w:w="5000" w:type="pct"/>
            <w:gridSpan w:val="5"/>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1F741413" w14:textId="77777777" w:rsidR="00645DC8" w:rsidRDefault="00645DC8" w:rsidP="00645DC8">
            <w:pPr>
              <w:pStyle w:val="TOPHEAD"/>
            </w:pPr>
            <w:r>
              <w:t>Vartojamos sąvokos ir santrumpos</w:t>
            </w:r>
          </w:p>
        </w:tc>
      </w:tr>
      <w:tr w:rsidR="00645DC8" w14:paraId="18590C98" w14:textId="77777777">
        <w:tc>
          <w:tcPr>
            <w:tcW w:w="1500" w:type="pct"/>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0FD58663" w14:textId="77777777" w:rsidR="00645DC8" w:rsidRDefault="00645DC8" w:rsidP="00645DC8">
            <w:pPr>
              <w:pStyle w:val="TOPHEAD"/>
            </w:pPr>
            <w:r>
              <w:t>Sąvokos / Santrumpos</w:t>
            </w:r>
          </w:p>
        </w:tc>
        <w:tc>
          <w:tcPr>
            <w:tcW w:w="3500" w:type="pct"/>
            <w:gridSpan w:val="4"/>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0D914036" w14:textId="77777777" w:rsidR="00645DC8" w:rsidRDefault="00645DC8" w:rsidP="00645DC8">
            <w:pPr>
              <w:pStyle w:val="TOPHEAD"/>
            </w:pPr>
            <w:r>
              <w:t>Apibrėžtys / Paaiškinimai</w:t>
            </w:r>
          </w:p>
        </w:tc>
      </w:tr>
    </w:tbl>
    <w:p w14:paraId="2B44E6CE" w14:textId="77777777" w:rsidR="00A65B54" w:rsidRDefault="00A65B54">
      <w:pPr>
        <w:rPr>
          <w:rFonts w:ascii="Arial" w:eastAsia="Arial" w:hAnsi="Arial" w:cs="Arial"/>
          <w:color w:val="000000"/>
          <w:sz w:val="22"/>
        </w:rPr>
        <w:sectPr w:rsidR="00A65B54">
          <w:headerReference w:type="even" r:id="rId9"/>
          <w:headerReference w:type="default" r:id="rId10"/>
          <w:footerReference w:type="even" r:id="rId11"/>
          <w:footerReference w:type="default" r:id="rId12"/>
          <w:headerReference w:type="first" r:id="rId13"/>
          <w:footerReference w:type="first" r:id="rId14"/>
          <w:pgSz w:w="11906" w:h="16838"/>
          <w:pgMar w:top="2835" w:right="1134" w:bottom="567" w:left="1134" w:header="567" w:footer="567" w:gutter="0"/>
          <w:cols w:space="720"/>
        </w:sectPr>
      </w:pPr>
    </w:p>
    <w:p w14:paraId="0D574089" w14:textId="77777777" w:rsidR="00A65B54" w:rsidRDefault="00000000">
      <w:pPr>
        <w:pStyle w:val="Antrat1"/>
        <w:ind w:left="0"/>
        <w:jc w:val="center"/>
        <w:rPr>
          <w:rFonts w:eastAsia="Arial"/>
          <w:color w:val="000000"/>
          <w:sz w:val="22"/>
        </w:rPr>
      </w:pPr>
      <w:bookmarkStart w:id="1" w:name="_Toc1012"/>
      <w:r>
        <w:rPr>
          <w:rFonts w:eastAsia="Arial"/>
          <w:color w:val="000000"/>
          <w:sz w:val="22"/>
        </w:rPr>
        <w:lastRenderedPageBreak/>
        <w:t>Proceso diagrama</w:t>
      </w:r>
    </w:p>
    <w:bookmarkEnd w:id="1"/>
    <w:p w14:paraId="6753771F" w14:textId="77777777" w:rsidR="00A65B54" w:rsidRDefault="00A65B54">
      <w:pPr>
        <w:rPr>
          <w:rFonts w:ascii="Arial" w:eastAsia="Arial" w:hAnsi="Arial" w:cs="Arial"/>
          <w:color w:val="000000"/>
          <w:sz w:val="22"/>
        </w:rPr>
      </w:pPr>
    </w:p>
    <w:p w14:paraId="080DD8AD" w14:textId="77777777" w:rsidR="00A65B54" w:rsidRDefault="00491CEC">
      <w:pPr>
        <w:spacing w:line="240" w:lineRule="atLeast"/>
        <w:rPr>
          <w:rFonts w:ascii="Arial" w:eastAsia="Arial" w:hAnsi="Arial" w:cs="Arial"/>
          <w:color w:val="000000"/>
          <w:sz w:val="22"/>
        </w:rPr>
        <w:sectPr w:rsidR="00A65B54">
          <w:headerReference w:type="default" r:id="rId15"/>
          <w:pgSz w:w="16838" w:h="11906" w:orient="landscape"/>
          <w:pgMar w:top="2835" w:right="1134" w:bottom="567" w:left="1134" w:header="567" w:footer="567" w:gutter="0"/>
          <w:cols w:space="720"/>
        </w:sectPr>
      </w:pPr>
      <w:r>
        <w:pict w14:anchorId="14D1F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26pt;height:235.5pt;mso-position-horizontal:left;mso-position-horizontal-relative:char;mso-position-vertical-relative:line" o:allowoverlap="f">
            <v:imagedata r:id="rId16" o:title=""/>
            <o:lock v:ext="edit" aspectratio="f"/>
          </v:shape>
        </w:pict>
      </w:r>
    </w:p>
    <w:p w14:paraId="163E145B" w14:textId="77777777" w:rsidR="00A65B54" w:rsidRDefault="00000000">
      <w:pPr>
        <w:pStyle w:val="Antrat1"/>
        <w:ind w:left="0"/>
        <w:jc w:val="center"/>
        <w:rPr>
          <w:rFonts w:eastAsia="Arial"/>
          <w:color w:val="000000"/>
          <w:sz w:val="22"/>
        </w:rPr>
      </w:pPr>
      <w:bookmarkStart w:id="2" w:name="_Toc1013"/>
      <w:r>
        <w:rPr>
          <w:rFonts w:eastAsia="Arial"/>
          <w:color w:val="000000"/>
          <w:sz w:val="22"/>
        </w:rPr>
        <w:lastRenderedPageBreak/>
        <w:t>Proceso veiksmų aprašymas</w:t>
      </w:r>
    </w:p>
    <w:bookmarkEnd w:id="2"/>
    <w:p w14:paraId="669FA0AD" w14:textId="77777777" w:rsidR="00A65B54" w:rsidRDefault="00A65B54">
      <w:pPr>
        <w:rPr>
          <w:rFonts w:ascii="Arial" w:eastAsia="Arial" w:hAnsi="Arial"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7"/>
        <w:gridCol w:w="6654"/>
        <w:gridCol w:w="2957"/>
        <w:gridCol w:w="2218"/>
      </w:tblGrid>
      <w:tr w:rsidR="00A65B54" w:rsidRPr="00491CEC" w14:paraId="177A102B" w14:textId="77777777">
        <w:tc>
          <w:tcPr>
            <w:tcW w:w="1000" w:type="pct"/>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14E400D7" w14:textId="77777777" w:rsidR="00A65B54" w:rsidRDefault="00000000">
            <w:pPr>
              <w:pStyle w:val="TOPHEAD"/>
            </w:pPr>
            <w:r>
              <w:t>Veiksmo pavadinimas</w:t>
            </w:r>
          </w:p>
        </w:tc>
        <w:tc>
          <w:tcPr>
            <w:tcW w:w="2250" w:type="pct"/>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0A00F27A" w14:textId="77777777" w:rsidR="00A65B54" w:rsidRDefault="00000000" w:rsidP="00645DC8">
            <w:pPr>
              <w:pStyle w:val="TOPHEAD"/>
            </w:pPr>
            <w:r>
              <w:t>Veiksmo aprašymas</w:t>
            </w:r>
          </w:p>
        </w:tc>
        <w:tc>
          <w:tcPr>
            <w:tcW w:w="1000" w:type="pct"/>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6162F8E7" w14:textId="77777777" w:rsidR="00A65B54" w:rsidRDefault="00000000">
            <w:pPr>
              <w:pStyle w:val="TOPHEAD"/>
            </w:pPr>
            <w:r>
              <w:t>Proceso dalyvis, kuris atlieka veiksmą</w:t>
            </w:r>
          </w:p>
        </w:tc>
        <w:tc>
          <w:tcPr>
            <w:tcW w:w="750" w:type="pct"/>
            <w:tcBorders>
              <w:top w:val="single" w:sz="6" w:space="0" w:color="000000"/>
              <w:left w:val="single" w:sz="6" w:space="0" w:color="000000"/>
              <w:bottom w:val="single" w:sz="6" w:space="0" w:color="000000"/>
              <w:right w:val="single" w:sz="6" w:space="0" w:color="000000"/>
            </w:tcBorders>
            <w:shd w:val="clear" w:color="DEEAF6" w:fill="DEEAF6"/>
            <w:tcMar>
              <w:top w:w="45" w:type="dxa"/>
              <w:left w:w="108" w:type="dxa"/>
              <w:bottom w:w="45" w:type="dxa"/>
              <w:right w:w="108" w:type="dxa"/>
            </w:tcMar>
            <w:vAlign w:val="center"/>
          </w:tcPr>
          <w:p w14:paraId="2CF393CE" w14:textId="77777777" w:rsidR="00A65B54" w:rsidRPr="00645DC8" w:rsidRDefault="00000000">
            <w:pPr>
              <w:pStyle w:val="TOPHEAD"/>
              <w:rPr>
                <w:lang w:val="pl-PL"/>
              </w:rPr>
            </w:pPr>
            <w:r w:rsidRPr="00645DC8">
              <w:rPr>
                <w:lang w:val="pl-PL"/>
              </w:rPr>
              <w:t>Atliekant  veiksmą naudojama informacinė sistema</w:t>
            </w:r>
          </w:p>
        </w:tc>
      </w:tr>
      <w:tr w:rsidR="00A65B54" w14:paraId="32943A88"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0CAFC4A" w14:textId="77777777" w:rsidR="00A65B54" w:rsidRDefault="00000000">
            <w:pPr>
              <w:pStyle w:val="LEFT"/>
            </w:pPr>
            <w:r>
              <w:t>1. Identifikuoti laisvas patalpas [RE-FX]</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63D8557" w14:textId="77777777" w:rsidR="00A65B54" w:rsidRDefault="00000000" w:rsidP="00645DC8">
            <w:pPr>
              <w:pStyle w:val="LEFT"/>
              <w:jc w:val="both"/>
            </w:pPr>
            <w:r>
              <w:t xml:space="preserve">Identifikuoti pasirinkto segmento (pastatas, adresas, t.t.) laisvas patalpas </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1312802" w14:textId="77777777" w:rsidR="00A65B54" w:rsidRDefault="00000000">
            <w:pPr>
              <w:pStyle w:val="LEFT"/>
            </w:pPr>
            <w:r>
              <w:t>Iniciatorius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15D8A08F" w14:textId="45654B7B" w:rsidR="00A65B54" w:rsidRDefault="00000000">
            <w:pPr>
              <w:pStyle w:val="LEFT"/>
            </w:pPr>
            <w:r>
              <w:t>SAP S/4HANA: Flexible Real Estate Management</w:t>
            </w:r>
          </w:p>
        </w:tc>
      </w:tr>
      <w:tr w:rsidR="00A65B54" w14:paraId="1F44F16A"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B96502A" w14:textId="77777777" w:rsidR="00A65B54" w:rsidRDefault="00000000">
            <w:pPr>
              <w:pStyle w:val="LEFT"/>
            </w:pPr>
            <w:r>
              <w:t>2. Patikrinti patalpų priskyrimą [RE-FX]</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508E5684" w14:textId="77777777" w:rsidR="00A65B54" w:rsidRDefault="00000000" w:rsidP="00645DC8">
            <w:pPr>
              <w:pStyle w:val="LEFT"/>
              <w:jc w:val="both"/>
            </w:pPr>
            <w:r>
              <w:t>Patikrinti pasirinkto segmento (pastatas, adresas, t.t.) patalpų priskyrimą vadovaujantis Patalpų priskyrimo taisyklėmis.</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F99D825" w14:textId="77777777" w:rsidR="00A65B54" w:rsidRDefault="00000000">
            <w:pPr>
              <w:pStyle w:val="LEFT"/>
            </w:pPr>
            <w:r>
              <w:t>Iniciatorius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C060D9C" w14:textId="181A5616" w:rsidR="00A65B54" w:rsidRDefault="00000000">
            <w:pPr>
              <w:pStyle w:val="LEFT"/>
            </w:pPr>
            <w:r>
              <w:t>SAP S/4HANA: Flexible Real Estate Management</w:t>
            </w:r>
          </w:p>
        </w:tc>
      </w:tr>
      <w:tr w:rsidR="00A65B54" w14:paraId="4DE047E7"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2EE3DE2" w14:textId="77777777" w:rsidR="00A65B54" w:rsidRDefault="00000000">
            <w:pPr>
              <w:pStyle w:val="LEFT"/>
            </w:pPr>
            <w:r>
              <w:t>3. Nustatyti nuomos kainą</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8C8E0CA" w14:textId="77777777" w:rsidR="00A65B54" w:rsidRDefault="00000000" w:rsidP="00645DC8">
            <w:pPr>
              <w:pStyle w:val="LEFT"/>
              <w:jc w:val="both"/>
            </w:pPr>
            <w:r>
              <w:t>Nustatyti nuomos kainą vadovaujantis LTG grupės įmonių kainodaros metodika M/FN11.1/LG/1.</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D648F7B" w14:textId="77777777" w:rsidR="00A65B54" w:rsidRDefault="00000000">
            <w:pPr>
              <w:pStyle w:val="LEFT"/>
            </w:pPr>
            <w:r>
              <w:t>Iniciatorius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5E14351" w14:textId="77777777" w:rsidR="00A65B54" w:rsidRDefault="00A65B54">
            <w:pPr>
              <w:pStyle w:val="LEFT"/>
            </w:pPr>
          </w:p>
        </w:tc>
      </w:tr>
      <w:tr w:rsidR="00A65B54" w14:paraId="531CF629"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0333BB7" w14:textId="77777777" w:rsidR="00A65B54" w:rsidRDefault="00000000">
            <w:pPr>
              <w:pStyle w:val="LEFT"/>
            </w:pPr>
            <w:r>
              <w:t>4. Parengti nuomos pasiūlymą</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886AA4E" w14:textId="77777777" w:rsidR="00A65B54" w:rsidRDefault="00000000" w:rsidP="00645DC8">
            <w:pPr>
              <w:pStyle w:val="LEFT"/>
              <w:jc w:val="both"/>
            </w:pPr>
            <w:r>
              <w:t>Parengti pasiūlymą apie nuomotiną objektą su pagrindiniais parametrais (unikalus Nr., adresas, nuomojamas plotas, kita).</w:t>
            </w:r>
          </w:p>
          <w:p w14:paraId="21404F79" w14:textId="77777777" w:rsidR="00A65B54" w:rsidRDefault="00A65B54" w:rsidP="00645DC8">
            <w:pPr>
              <w:pStyle w:val="LEFT"/>
              <w:jc w:val="both"/>
            </w:pPr>
          </w:p>
          <w:p w14:paraId="3B35A654" w14:textId="77777777" w:rsidR="00A65B54" w:rsidRDefault="00000000" w:rsidP="00645DC8">
            <w:pPr>
              <w:pStyle w:val="LEFT"/>
              <w:jc w:val="both"/>
            </w:pPr>
            <w:r>
              <w:t xml:space="preserve">Trumpalaikės nuomos reikalavimai: </w:t>
            </w:r>
          </w:p>
          <w:p w14:paraId="143AC866" w14:textId="77777777" w:rsidR="00A65B54" w:rsidRDefault="00000000" w:rsidP="00645DC8">
            <w:pPr>
              <w:pStyle w:val="LEFT"/>
              <w:jc w:val="both"/>
            </w:pPr>
            <w:r>
              <w:t xml:space="preserve">1. Turtas gali būti išnuomojamas ne konkurso būdu trumpam laikui, jeigu tuo metu šio turto nereikia LTG / Veiklos vieneto reikmėms. </w:t>
            </w:r>
          </w:p>
          <w:p w14:paraId="2E26A967" w14:textId="77777777" w:rsidR="00A65B54" w:rsidRDefault="00000000" w:rsidP="00645DC8">
            <w:pPr>
              <w:pStyle w:val="LEFT"/>
              <w:jc w:val="both"/>
            </w:pPr>
            <w:r>
              <w:t xml:space="preserve">2. Trumpas nuomos terminas, per kurį turtas gali būti nuomojamas tam pačiam nuomininkui ne konkurso būdu, yra ne ilgesnis nei 30 kalendorinių dienų per metus nuo pirmojo nuomos tame pačiame objekte sandorio sudarymo. </w:t>
            </w:r>
          </w:p>
          <w:p w14:paraId="1C3D9EAD" w14:textId="77777777" w:rsidR="00A65B54" w:rsidRDefault="00000000" w:rsidP="00645DC8">
            <w:pPr>
              <w:pStyle w:val="LEFT"/>
              <w:jc w:val="both"/>
            </w:pPr>
            <w:r>
              <w:t xml:space="preserve">3. Pagal trumpalaikės nuomos sutartį turtas gali būti išnuomojamas trumpalaikiams renginiams (parodoms, sporto varžyboms, pasitarimams, seminarams, šventėms, kultūros renginiams, taip pat renginiams, skirtiems darbuotojų socialinėms </w:t>
            </w:r>
            <w:r>
              <w:lastRenderedPageBreak/>
              <w:t xml:space="preserve">reikmėms ir kitoms panašioms reikmėms tenkinti) organizuoti, trumpalaikiams neatidėliotiniems darbams (avarijoms, stichinėms nelaimėms likviduoti) atlikti ir panašiais tikslais. </w:t>
            </w:r>
          </w:p>
          <w:p w14:paraId="02FD068D" w14:textId="77777777" w:rsidR="00A65B54" w:rsidRDefault="00000000" w:rsidP="00645DC8">
            <w:pPr>
              <w:pStyle w:val="LEFT"/>
              <w:jc w:val="both"/>
            </w:pPr>
            <w:r>
              <w:t>4. Atskirais atvejais, kai nuomininkas skirtose patalpose planuoja vykdyti socialiai reikšmingą ar kitą viešam interesui svarbią ir visuomenei pridėtinę vertę kuriančią veiklą nesiekdamas pelno ar numato vykdyti veiklą, kuri duotų pagrįstą ekonominę naudą bendrovei, Komisija, įvertinusi konkrečias aplinkybes, motyvuotu sprendimu turi teisę nustatyti specifinę konkretaus turto nuomos tvarką ir / ar procedūras (pvz., lengvatinę nuomos kainą ir kt.). Ekonomine nauda laikomas išlaidų, susijusių su turto išlaikymu ir investicijomis, padengimas ir pan.</w:t>
            </w:r>
          </w:p>
          <w:p w14:paraId="3FF10F70" w14:textId="77777777" w:rsidR="00A65B54" w:rsidRDefault="00A65B54" w:rsidP="00645DC8">
            <w:pPr>
              <w:pStyle w:val="LEFT"/>
              <w:jc w:val="both"/>
            </w:pPr>
          </w:p>
          <w:p w14:paraId="1DEA08B8" w14:textId="77777777" w:rsidR="00A65B54" w:rsidRDefault="00000000" w:rsidP="00645DC8">
            <w:pPr>
              <w:pStyle w:val="LEFT"/>
              <w:jc w:val="both"/>
            </w:pPr>
            <w:r>
              <w:t xml:space="preserve">Turto panaudos reikalavimai: </w:t>
            </w:r>
          </w:p>
          <w:p w14:paraId="365D3AD5" w14:textId="77777777" w:rsidR="00A65B54" w:rsidRDefault="00000000" w:rsidP="00645DC8">
            <w:pPr>
              <w:pStyle w:val="LEFT"/>
              <w:jc w:val="both"/>
            </w:pPr>
            <w:r>
              <w:t>Turtas gali būti perduodamas pagal panaudos sutartį tik įstatymų nustatytais atvejais – kai tai numatyta LR darbo kodekse, pagal LTG / Veiklos vieneto darbuotojų atstovų prašymus, Komisijos sprendimą ir kt.</w:t>
            </w:r>
          </w:p>
          <w:p w14:paraId="31A6DBDD" w14:textId="77777777" w:rsidR="00A65B54" w:rsidRDefault="00A65B54" w:rsidP="00645DC8">
            <w:pPr>
              <w:pStyle w:val="LEFT"/>
              <w:jc w:val="both"/>
            </w:pPr>
          </w:p>
          <w:p w14:paraId="694D88FF" w14:textId="77777777" w:rsidR="00A65B54" w:rsidRDefault="00A65B54" w:rsidP="00645DC8">
            <w:pPr>
              <w:pStyle w:val="LEFT"/>
              <w:jc w:val="both"/>
            </w:pPr>
          </w:p>
          <w:p w14:paraId="5E8D8510" w14:textId="77777777" w:rsidR="00A65B54" w:rsidRDefault="00000000" w:rsidP="00645DC8">
            <w:pPr>
              <w:pStyle w:val="LEFT"/>
              <w:jc w:val="both"/>
            </w:pPr>
            <w:r>
              <w:t>Jeigu sandoris sudaromas su susijusia šalimi, toliau vykdomas 11.1.13.2. Susijusių asmenų sandorių kainodaros procesas.</w:t>
            </w:r>
          </w:p>
          <w:p w14:paraId="76369C43" w14:textId="77777777" w:rsidR="00A65B54" w:rsidRDefault="00000000" w:rsidP="00645DC8">
            <w:pPr>
              <w:pStyle w:val="LEFT"/>
              <w:jc w:val="both"/>
            </w:pPr>
            <w:r>
              <w:t>Jeigu sandoris nesudaromas su susijusia šalimi, toliau vykdomas 5 veiksmas.</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815B44C" w14:textId="77777777" w:rsidR="00A65B54" w:rsidRDefault="00000000">
            <w:pPr>
              <w:pStyle w:val="LEFT"/>
            </w:pPr>
            <w:r>
              <w:lastRenderedPageBreak/>
              <w:t>Iniciatorius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3B2881F" w14:textId="77777777" w:rsidR="00A65B54" w:rsidRDefault="00A65B54">
            <w:pPr>
              <w:pStyle w:val="LEFT"/>
            </w:pPr>
          </w:p>
        </w:tc>
      </w:tr>
      <w:tr w:rsidR="00A65B54" w14:paraId="403B3E49"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191C6820" w14:textId="77777777" w:rsidR="00A65B54" w:rsidRDefault="00000000">
            <w:pPr>
              <w:pStyle w:val="LEFT"/>
            </w:pPr>
            <w:r>
              <w:t>5. Pateikti pasiūlymą tvirtinimui [DVS]</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1D3564F" w14:textId="77777777" w:rsidR="00A65B54" w:rsidRDefault="00000000" w:rsidP="00645DC8">
            <w:pPr>
              <w:pStyle w:val="LEFT"/>
              <w:jc w:val="both"/>
            </w:pPr>
            <w:r>
              <w:t>Parengtas teikimas yra registruojamas DVS sistemoje ir</w:t>
            </w:r>
          </w:p>
          <w:p w14:paraId="53A307DD" w14:textId="77777777" w:rsidR="00A65B54" w:rsidRDefault="00000000" w:rsidP="00645DC8">
            <w:pPr>
              <w:pStyle w:val="LEFT"/>
              <w:jc w:val="both"/>
            </w:pPr>
            <w:r>
              <w:t xml:space="preserve">siunčiamas el. paštu  komisijos nariams, vadovaujantis nuolatinės komisijos darbo reglamentu. </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0718A2B" w14:textId="77777777" w:rsidR="00A65B54" w:rsidRDefault="00000000">
            <w:pPr>
              <w:pStyle w:val="LEFT"/>
            </w:pPr>
            <w:r>
              <w:t>Iniciatorius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ECE6825" w14:textId="77777777" w:rsidR="00A65B54" w:rsidRDefault="00000000">
            <w:pPr>
              <w:pStyle w:val="LEFT"/>
            </w:pPr>
            <w:r>
              <w:t>DVS</w:t>
            </w:r>
          </w:p>
          <w:p w14:paraId="1F7E02B9" w14:textId="5A0D7E15" w:rsidR="00A65B54" w:rsidRDefault="00A65B54">
            <w:pPr>
              <w:pStyle w:val="LEFT"/>
            </w:pPr>
          </w:p>
        </w:tc>
      </w:tr>
      <w:tr w:rsidR="00A65B54" w14:paraId="144D9CB3"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BD15082" w14:textId="77777777" w:rsidR="00A65B54" w:rsidRDefault="00000000">
            <w:pPr>
              <w:pStyle w:val="LEFT"/>
            </w:pPr>
            <w:r>
              <w:t>6. Įvertinti teikimą</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80A6AD5" w14:textId="77777777" w:rsidR="00A65B54" w:rsidRDefault="00000000" w:rsidP="00645DC8">
            <w:pPr>
              <w:pStyle w:val="LEFT"/>
              <w:jc w:val="both"/>
            </w:pPr>
            <w:r>
              <w:t xml:space="preserve">Komisija nagrinėja siūlymą. Vertina siūlomą išnuomoti objektą, informaciją apie objektui priskiriamus priklausinius, nekilnojamojo turto registro pažymėjimą/išrašą, objekto būklę, nuompinigių dydį, nuomos terminą. Jei nepritaria teikimui - vykdomas 7 veiksmas, </w:t>
            </w:r>
            <w:r>
              <w:lastRenderedPageBreak/>
              <w:t xml:space="preserve">jeigu pritaria teikimui vykdomas 8 veiksmas. Vertinimas atliekamas vadovaujantis  komisijos darbo reglamentu. </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2B164E3" w14:textId="77777777" w:rsidR="00A65B54" w:rsidRDefault="00000000">
            <w:pPr>
              <w:pStyle w:val="LEFT"/>
            </w:pPr>
            <w:r>
              <w:lastRenderedPageBreak/>
              <w:t>Tvirtintojas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1A784DCE" w14:textId="77777777" w:rsidR="00A65B54" w:rsidRDefault="00A65B54">
            <w:pPr>
              <w:pStyle w:val="LEFT"/>
            </w:pPr>
          </w:p>
        </w:tc>
      </w:tr>
      <w:tr w:rsidR="00A65B54" w14:paraId="2A507A0E"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0812FBC" w14:textId="77777777" w:rsidR="00A65B54" w:rsidRDefault="00000000">
            <w:pPr>
              <w:pStyle w:val="LEFT"/>
            </w:pPr>
            <w:r>
              <w:t>7. Atmesti teikimą [DVS]</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710F551" w14:textId="77777777" w:rsidR="00A65B54" w:rsidRDefault="00000000" w:rsidP="00645DC8">
            <w:pPr>
              <w:pStyle w:val="LEFT"/>
              <w:jc w:val="both"/>
            </w:pPr>
            <w:r>
              <w:t>Atmesti teikimą nurodant priežastį. Jeigu objektas bus nuomojamas toliau vykdomas 8 veiksmas, jeigu reikia tikslinti pasiūlymą vykdomas 4 veiksmas. Jeigu objektas nebus išnuomojamas, proceso pabaiga.</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0A02334" w14:textId="77777777" w:rsidR="00A65B54" w:rsidRDefault="00000000">
            <w:pPr>
              <w:pStyle w:val="LEFT"/>
            </w:pPr>
            <w:r>
              <w:t>Tvirtintojas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A737427" w14:textId="77777777" w:rsidR="00A65B54" w:rsidRDefault="00000000">
            <w:pPr>
              <w:pStyle w:val="LEFT"/>
            </w:pPr>
            <w:r>
              <w:t>DVS</w:t>
            </w:r>
          </w:p>
          <w:p w14:paraId="3A3BFC72" w14:textId="52AAC1A5" w:rsidR="00A65B54" w:rsidRDefault="00000000">
            <w:pPr>
              <w:pStyle w:val="LEFT"/>
            </w:pPr>
            <w:r>
              <w:br/>
            </w:r>
          </w:p>
        </w:tc>
      </w:tr>
      <w:tr w:rsidR="00A65B54" w14:paraId="0582FE38"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C67405A" w14:textId="77777777" w:rsidR="00A65B54" w:rsidRDefault="00000000">
            <w:pPr>
              <w:pStyle w:val="LEFT"/>
            </w:pPr>
            <w:r>
              <w:t xml:space="preserve">8. Patvirtinti teikimą protokolu [DVS] </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501CB1A8" w14:textId="77777777" w:rsidR="00A65B54" w:rsidRDefault="00000000" w:rsidP="00645DC8">
            <w:pPr>
              <w:pStyle w:val="LEFT"/>
              <w:jc w:val="both"/>
            </w:pPr>
            <w:r>
              <w:t>Patvirtinti teikimą protokolu vadovaujantis komisijos darbo reglamentu.</w:t>
            </w:r>
          </w:p>
          <w:p w14:paraId="77D868B2" w14:textId="77777777" w:rsidR="00A65B54" w:rsidRDefault="00A65B54" w:rsidP="00645DC8">
            <w:pPr>
              <w:pStyle w:val="LEFT"/>
              <w:jc w:val="both"/>
            </w:pPr>
          </w:p>
          <w:p w14:paraId="44357FBB" w14:textId="77777777" w:rsidR="00A65B54" w:rsidRDefault="00A65B54" w:rsidP="00645DC8">
            <w:pPr>
              <w:pStyle w:val="LEFT"/>
              <w:jc w:val="both"/>
            </w:pPr>
          </w:p>
          <w:p w14:paraId="53720791" w14:textId="77777777" w:rsidR="00A65B54" w:rsidRDefault="00000000" w:rsidP="00645DC8">
            <w:pPr>
              <w:pStyle w:val="LEFT"/>
              <w:jc w:val="both"/>
            </w:pPr>
            <w:r>
              <w:t xml:space="preserve">1.Apie nekilnojamojo turto nuomą per 5 darbo dienas nuo sprendimo priėmimo, paskelbiama LTG interneto svetainėje ir specializuotose interneto skelbimų svetainėse. </w:t>
            </w:r>
          </w:p>
          <w:p w14:paraId="58992F53" w14:textId="77777777" w:rsidR="00A65B54" w:rsidRPr="00645DC8" w:rsidRDefault="00000000" w:rsidP="00645DC8">
            <w:pPr>
              <w:pStyle w:val="LEFT"/>
              <w:jc w:val="both"/>
              <w:rPr>
                <w:lang w:val="pl-PL"/>
              </w:rPr>
            </w:pPr>
            <w:r w:rsidRPr="00645DC8">
              <w:rPr>
                <w:lang w:val="pl-PL"/>
              </w:rPr>
              <w:t xml:space="preserve">2. Siekiant nustatyti nuomojamo turto kainą, nustatoma nuomojamo turto rinkos vertė. Nuomojamo turto rinkos vertės nustatymą inicijuoja Turto valdymo paslaugos, arba Turto savininkas laikydamasis LTG Pirkimų taisyklėmis nustatytos tvarkos. </w:t>
            </w:r>
          </w:p>
          <w:p w14:paraId="07B96157" w14:textId="77777777" w:rsidR="00A65B54" w:rsidRPr="00645DC8" w:rsidRDefault="00000000" w:rsidP="00645DC8">
            <w:pPr>
              <w:pStyle w:val="LEFT"/>
              <w:jc w:val="both"/>
              <w:rPr>
                <w:lang w:val="pl-PL"/>
              </w:rPr>
            </w:pPr>
            <w:r w:rsidRPr="00645DC8">
              <w:rPr>
                <w:lang w:val="pl-PL"/>
              </w:rPr>
              <w:t>3. Kaina nustatoma laikantis didžiausios ekonominės naudos bendrovei principo, atsižvelgiant į nepriklausomų turto vertintojų nuomos įkainių vertinimą arba tais atvejais, kai objektas nėra įvertintas nepriklausomų turto vertintojų, – į TVP ar Turto savininko atliktos rinkos analizės duomenis.</w:t>
            </w:r>
          </w:p>
          <w:p w14:paraId="6DD80671" w14:textId="77777777" w:rsidR="00A65B54" w:rsidRPr="00645DC8" w:rsidRDefault="00000000" w:rsidP="00645DC8">
            <w:pPr>
              <w:pStyle w:val="LEFT"/>
              <w:jc w:val="both"/>
              <w:rPr>
                <w:lang w:val="pl-PL"/>
              </w:rPr>
            </w:pPr>
            <w:r w:rsidRPr="00645DC8">
              <w:rPr>
                <w:lang w:val="pl-PL"/>
              </w:rPr>
              <w:t xml:space="preserve"> 4. Nepriklausomų turto vertintojų nustatyta turto vertė negali būti nustatyta anksčiau nei prieš aštuoniolika mėnesių nuo turto nuomos procedūros pradžios. </w:t>
            </w:r>
          </w:p>
          <w:p w14:paraId="137C13F7" w14:textId="77777777" w:rsidR="00A65B54" w:rsidRPr="00645DC8" w:rsidRDefault="00000000" w:rsidP="00645DC8">
            <w:pPr>
              <w:pStyle w:val="LEFT"/>
              <w:jc w:val="both"/>
              <w:rPr>
                <w:lang w:val="pl-PL"/>
              </w:rPr>
            </w:pPr>
            <w:r w:rsidRPr="00645DC8">
              <w:rPr>
                <w:lang w:val="pl-PL"/>
              </w:rPr>
              <w:t xml:space="preserve">5. Komisijos nariai, kiti Komisijos darbe dalyvaujantys asmenys, negali atskleisti dalyvių pateiktų konkurso ar neskelbiamų derybų pasiūlymų informacijos tretiesiems asmenims, nesvarbu, kokiu būdu ši informacija būtų pateikta (žodžiu, raštu, elektroniniu būdu ar vizualiai) ar kokiame bendradarbiavimo etape ji išaiškėtų, jei ši </w:t>
            </w:r>
            <w:r w:rsidRPr="00645DC8">
              <w:rPr>
                <w:lang w:val="pl-PL"/>
              </w:rPr>
              <w:lastRenderedPageBreak/>
              <w:t xml:space="preserve">informacija: </w:t>
            </w:r>
          </w:p>
          <w:p w14:paraId="1A16A866" w14:textId="77777777" w:rsidR="00A65B54" w:rsidRPr="00645DC8" w:rsidRDefault="00000000" w:rsidP="00645DC8">
            <w:pPr>
              <w:pStyle w:val="LEFT"/>
              <w:jc w:val="both"/>
              <w:rPr>
                <w:lang w:val="pl-PL"/>
              </w:rPr>
            </w:pPr>
            <w:r w:rsidRPr="00645DC8">
              <w:rPr>
                <w:lang w:val="pl-PL"/>
              </w:rPr>
              <w:t xml:space="preserve">5.1. nėra viešai žinoma ir prieinama visuomenei; </w:t>
            </w:r>
          </w:p>
          <w:p w14:paraId="72471756" w14:textId="77777777" w:rsidR="00A65B54" w:rsidRPr="00645DC8" w:rsidRDefault="00000000" w:rsidP="00645DC8">
            <w:pPr>
              <w:pStyle w:val="LEFT"/>
              <w:jc w:val="both"/>
              <w:rPr>
                <w:lang w:val="pl-PL"/>
              </w:rPr>
            </w:pPr>
            <w:r w:rsidRPr="00645DC8">
              <w:rPr>
                <w:lang w:val="pl-PL"/>
              </w:rPr>
              <w:t xml:space="preserve">5.2. nebuvo žinoma pardavėjui ir dalyviui dar prieš skelbiant sąlygas; </w:t>
            </w:r>
          </w:p>
          <w:p w14:paraId="2C57269E" w14:textId="77777777" w:rsidR="00A65B54" w:rsidRPr="00645DC8" w:rsidRDefault="00000000" w:rsidP="00645DC8">
            <w:pPr>
              <w:pStyle w:val="LEFT"/>
              <w:jc w:val="both"/>
              <w:rPr>
                <w:lang w:val="pl-PL"/>
              </w:rPr>
            </w:pPr>
            <w:r w:rsidRPr="00645DC8">
              <w:rPr>
                <w:lang w:val="pl-PL"/>
              </w:rPr>
              <w:t>5.3. gali būti paskelbta laikantis šių sąlygų.</w:t>
            </w:r>
          </w:p>
          <w:p w14:paraId="2671564A" w14:textId="77777777" w:rsidR="00A65B54" w:rsidRPr="00645DC8" w:rsidRDefault="00A65B54" w:rsidP="00645DC8">
            <w:pPr>
              <w:pStyle w:val="LEFT"/>
              <w:jc w:val="both"/>
              <w:rPr>
                <w:lang w:val="pl-PL"/>
              </w:rPr>
            </w:pPr>
          </w:p>
          <w:p w14:paraId="65081505" w14:textId="77777777" w:rsidR="00A65B54" w:rsidRPr="00645DC8" w:rsidRDefault="00A65B54" w:rsidP="00645DC8">
            <w:pPr>
              <w:pStyle w:val="LEFT"/>
              <w:jc w:val="both"/>
              <w:rPr>
                <w:lang w:val="pl-PL"/>
              </w:rPr>
            </w:pPr>
          </w:p>
          <w:p w14:paraId="021B4D3E" w14:textId="77777777" w:rsidR="00A65B54" w:rsidRPr="00645DC8" w:rsidRDefault="00000000" w:rsidP="00645DC8">
            <w:pPr>
              <w:pStyle w:val="LEFT"/>
              <w:jc w:val="both"/>
              <w:rPr>
                <w:lang w:val="pl-PL"/>
              </w:rPr>
            </w:pPr>
            <w:r w:rsidRPr="00645DC8">
              <w:rPr>
                <w:lang w:val="pl-PL"/>
              </w:rPr>
              <w:t>Jei reikalingos trumpalaikės nuomos paslaugos:</w:t>
            </w:r>
          </w:p>
          <w:p w14:paraId="6C6EF0A1" w14:textId="77777777" w:rsidR="00A65B54" w:rsidRPr="00645DC8" w:rsidRDefault="00000000" w:rsidP="00645DC8">
            <w:pPr>
              <w:pStyle w:val="LEFT"/>
              <w:jc w:val="both"/>
              <w:rPr>
                <w:lang w:val="pl-PL"/>
              </w:rPr>
            </w:pPr>
            <w:r w:rsidRPr="00645DC8">
              <w:rPr>
                <w:lang w:val="pl-PL"/>
              </w:rPr>
              <w:t xml:space="preserve">1.Komisija įvertina potencialaus nuomininko prašymą, priima sprendimą dėl objekto nuomos ir nustato nuomos įkainį bei sąlygas. </w:t>
            </w:r>
          </w:p>
          <w:p w14:paraId="771237AA" w14:textId="77777777" w:rsidR="00A65B54" w:rsidRPr="00645DC8" w:rsidRDefault="00000000" w:rsidP="00645DC8">
            <w:pPr>
              <w:pStyle w:val="LEFT"/>
              <w:jc w:val="both"/>
              <w:rPr>
                <w:lang w:val="pl-PL"/>
              </w:rPr>
            </w:pPr>
            <w:r w:rsidRPr="00645DC8">
              <w:rPr>
                <w:lang w:val="pl-PL"/>
              </w:rPr>
              <w:t>2. Jeigu išnuomoti turtą atsisakoma, apie tai per 5 darbo dienas telefonu, el. paštu arba raštu pranešama subjektui, pateikusiam prašymą, nurodant atsisakymo priežastys.</w:t>
            </w:r>
          </w:p>
          <w:p w14:paraId="10EE6A2C" w14:textId="77777777" w:rsidR="00A65B54" w:rsidRPr="00645DC8" w:rsidRDefault="00A65B54" w:rsidP="00645DC8">
            <w:pPr>
              <w:pStyle w:val="LEFT"/>
              <w:jc w:val="both"/>
              <w:rPr>
                <w:lang w:val="pl-PL"/>
              </w:rPr>
            </w:pPr>
          </w:p>
          <w:p w14:paraId="256BE5BD" w14:textId="77777777" w:rsidR="00A65B54" w:rsidRPr="00645DC8" w:rsidRDefault="00000000" w:rsidP="00645DC8">
            <w:pPr>
              <w:pStyle w:val="LEFT"/>
              <w:jc w:val="both"/>
              <w:rPr>
                <w:lang w:val="pl-PL"/>
              </w:rPr>
            </w:pPr>
            <w:r w:rsidRPr="00645DC8">
              <w:rPr>
                <w:lang w:val="pl-PL"/>
              </w:rPr>
              <w:t xml:space="preserve"> Jei reikalingos panaudos paslaugos, gautas prašymas suteikti turtą pagal panaudos sutartį gali būti priimamas, atmetamas arba vykdomos neskelbiamų derybų procedūros, kurių metu suderinamos sąlygos.</w:t>
            </w:r>
          </w:p>
          <w:p w14:paraId="37594FA3" w14:textId="77777777" w:rsidR="00A65B54" w:rsidRPr="00645DC8" w:rsidRDefault="00A65B54" w:rsidP="00645DC8">
            <w:pPr>
              <w:pStyle w:val="LEFT"/>
              <w:jc w:val="both"/>
              <w:rPr>
                <w:lang w:val="pl-PL"/>
              </w:rPr>
            </w:pPr>
          </w:p>
          <w:p w14:paraId="78510118" w14:textId="77777777" w:rsidR="00A65B54" w:rsidRPr="00645DC8" w:rsidRDefault="00000000" w:rsidP="00645DC8">
            <w:pPr>
              <w:pStyle w:val="LEFT"/>
              <w:jc w:val="both"/>
              <w:rPr>
                <w:lang w:val="pl-PL"/>
              </w:rPr>
            </w:pPr>
            <w:r w:rsidRPr="00645DC8">
              <w:rPr>
                <w:lang w:val="pl-PL"/>
              </w:rPr>
              <w:t>Nekilnojamojo turto objektai gali būti nuomojami:</w:t>
            </w:r>
          </w:p>
          <w:p w14:paraId="56A3F09A" w14:textId="77777777" w:rsidR="00A65B54" w:rsidRPr="00645DC8" w:rsidRDefault="00000000" w:rsidP="00645DC8">
            <w:pPr>
              <w:pStyle w:val="LEFT"/>
              <w:jc w:val="both"/>
              <w:rPr>
                <w:lang w:val="pl-PL"/>
              </w:rPr>
            </w:pPr>
            <w:r w:rsidRPr="00645DC8">
              <w:rPr>
                <w:lang w:val="pl-PL"/>
              </w:rPr>
              <w:t xml:space="preserve">1. viešo konkurso būdu – visais atvejais, išskyrus 2, 3, 4 ir 5 punktuose (toliau) numatytus; </w:t>
            </w:r>
          </w:p>
          <w:p w14:paraId="6A521996" w14:textId="77777777" w:rsidR="00A65B54" w:rsidRPr="00645DC8" w:rsidRDefault="00000000" w:rsidP="00645DC8">
            <w:pPr>
              <w:pStyle w:val="LEFT"/>
              <w:jc w:val="both"/>
              <w:rPr>
                <w:lang w:val="pl-PL"/>
              </w:rPr>
            </w:pPr>
            <w:r w:rsidRPr="00645DC8">
              <w:rPr>
                <w:lang w:val="pl-PL"/>
              </w:rPr>
              <w:t xml:space="preserve">2. neskelbiamų derybų būdu, kai: </w:t>
            </w:r>
          </w:p>
          <w:p w14:paraId="6AAC80EE" w14:textId="77777777" w:rsidR="00A65B54" w:rsidRPr="00645DC8" w:rsidRDefault="00000000" w:rsidP="00645DC8">
            <w:pPr>
              <w:pStyle w:val="LEFT"/>
              <w:jc w:val="both"/>
              <w:rPr>
                <w:lang w:val="pl-PL"/>
              </w:rPr>
            </w:pPr>
            <w:r w:rsidRPr="00645DC8">
              <w:rPr>
                <w:lang w:val="pl-PL"/>
              </w:rPr>
              <w:t xml:space="preserve">2.1. turtą pageidauja išsinuomoti LTG įmonių grupės įmonės (Lietuvos Respublikos Vyriausybės 2012 m. birželio 6 d. nutarimo Nr. 665 „Dėl Valstybės turtinių ir neturtinių teisių įgyvendinimo valstybės valdomose įmonėse tvarkos aprašo patvirtinimo“ pagrindu); </w:t>
            </w:r>
          </w:p>
          <w:p w14:paraId="76DB2ACF" w14:textId="77777777" w:rsidR="00A65B54" w:rsidRPr="00645DC8" w:rsidRDefault="00000000" w:rsidP="00645DC8">
            <w:pPr>
              <w:pStyle w:val="LEFT"/>
              <w:jc w:val="both"/>
              <w:rPr>
                <w:lang w:val="pl-PL"/>
              </w:rPr>
            </w:pPr>
            <w:r w:rsidRPr="00645DC8">
              <w:rPr>
                <w:lang w:val="pl-PL"/>
              </w:rPr>
              <w:t xml:space="preserve">2.2. kitais teisės aktų nustatytais atvejais arba motyvuotu komisijos sprendimu. </w:t>
            </w:r>
          </w:p>
          <w:p w14:paraId="51064D2C" w14:textId="77777777" w:rsidR="00A65B54" w:rsidRPr="00645DC8" w:rsidRDefault="00000000" w:rsidP="00645DC8">
            <w:pPr>
              <w:pStyle w:val="LEFT"/>
              <w:jc w:val="both"/>
              <w:rPr>
                <w:lang w:val="pl-PL"/>
              </w:rPr>
            </w:pPr>
            <w:r w:rsidRPr="00645DC8">
              <w:rPr>
                <w:lang w:val="pl-PL"/>
              </w:rPr>
              <w:t xml:space="preserve">3. perduodant pagal panaudos sutartį – kai turtas perduodamas </w:t>
            </w:r>
            <w:r w:rsidRPr="00645DC8">
              <w:rPr>
                <w:lang w:val="pl-PL"/>
              </w:rPr>
              <w:lastRenderedPageBreak/>
              <w:t xml:space="preserve">geležinkelininkų profsąjungoms; </w:t>
            </w:r>
          </w:p>
          <w:p w14:paraId="79CB6221" w14:textId="77777777" w:rsidR="00A65B54" w:rsidRPr="00645DC8" w:rsidRDefault="00000000" w:rsidP="00645DC8">
            <w:pPr>
              <w:pStyle w:val="LEFT"/>
              <w:jc w:val="both"/>
              <w:rPr>
                <w:lang w:val="pl-PL"/>
              </w:rPr>
            </w:pPr>
            <w:r w:rsidRPr="00645DC8">
              <w:rPr>
                <w:lang w:val="pl-PL"/>
              </w:rPr>
              <w:t>4. pagal trumpalaikės nuomos sutartį – kai turtas nuomojamas trumpalaikiams renginiams (parodoms, sporto varžyboms, pasitarimams, seminarams, šventėms, kultūros renginiams, renginiams, skirtiems darbuotojų socialinėms reikmėms tenkinti, ir pan.) organizuoti, trumpalaikėms paslaugoms (daiktų išsikrovimas, laikymas ir pan.) teikti ar trumpalaikiams neatidėliotiniems darbams atlikti (avarijų, stichinių nelaimių padariniams likviduoti ir pan.). Trumpalaikės nuomos trukmė – iki 30 kalendorinių dienų per metus nuo pirmojo nuomos tame pačiame objekte sandorio sudarymo</w:t>
            </w:r>
          </w:p>
          <w:p w14:paraId="0A808154" w14:textId="77777777" w:rsidR="00A65B54" w:rsidRPr="00645DC8" w:rsidRDefault="00000000" w:rsidP="00645DC8">
            <w:pPr>
              <w:pStyle w:val="LEFT"/>
              <w:jc w:val="both"/>
              <w:rPr>
                <w:lang w:val="pl-PL"/>
              </w:rPr>
            </w:pPr>
            <w:r w:rsidRPr="00645DC8">
              <w:rPr>
                <w:lang w:val="pl-PL"/>
              </w:rPr>
              <w:t>5. Viešosios geležinkelių infrastruktūros turtas nuomojamas remiantis Lietuvos Respublikos Geležinkelių Transporto Kodeksu ( https://e-seimas.lrs.lt/portal/legalAct/lt/TAD/TAIS.232217/asr )</w:t>
            </w:r>
          </w:p>
          <w:p w14:paraId="7EEE385F" w14:textId="77777777" w:rsidR="00A65B54" w:rsidRPr="00645DC8" w:rsidRDefault="00A65B54" w:rsidP="00645DC8">
            <w:pPr>
              <w:pStyle w:val="LEFT"/>
              <w:jc w:val="both"/>
              <w:rPr>
                <w:lang w:val="pl-PL"/>
              </w:rPr>
            </w:pPr>
          </w:p>
          <w:p w14:paraId="13F591F2" w14:textId="77777777" w:rsidR="00A65B54" w:rsidRPr="00645DC8" w:rsidRDefault="00000000" w:rsidP="00645DC8">
            <w:pPr>
              <w:pStyle w:val="LEFT"/>
              <w:jc w:val="both"/>
              <w:rPr>
                <w:lang w:val="pl-PL"/>
              </w:rPr>
            </w:pPr>
            <w:r w:rsidRPr="00645DC8">
              <w:rPr>
                <w:lang w:val="pl-PL"/>
              </w:rPr>
              <w:t>Jeigu tai nuosavybės teise valdomas turtas, ir galima rengti sutarties projektą, toliau atliekamas 11 veiksmas.</w:t>
            </w:r>
          </w:p>
          <w:p w14:paraId="4EECA716" w14:textId="77777777" w:rsidR="00A65B54" w:rsidRPr="00645DC8" w:rsidRDefault="00000000" w:rsidP="00645DC8">
            <w:pPr>
              <w:pStyle w:val="LEFT"/>
              <w:jc w:val="both"/>
              <w:rPr>
                <w:lang w:val="pl-PL"/>
              </w:rPr>
            </w:pPr>
            <w:r w:rsidRPr="00645DC8">
              <w:rPr>
                <w:lang w:val="pl-PL"/>
              </w:rPr>
              <w:t>Jeigu tai nuosavybės teise valdomas turtas, ir reikia inicijuoti nuomos procedūrą toliau atliekamas 10 veiksmas.</w:t>
            </w:r>
          </w:p>
          <w:p w14:paraId="67D2DD58" w14:textId="77777777" w:rsidR="00A65B54" w:rsidRPr="00645DC8" w:rsidRDefault="00000000" w:rsidP="00645DC8">
            <w:pPr>
              <w:pStyle w:val="LEFT"/>
              <w:jc w:val="both"/>
              <w:rPr>
                <w:lang w:val="pl-PL"/>
              </w:rPr>
            </w:pPr>
            <w:r w:rsidRPr="00645DC8">
              <w:rPr>
                <w:lang w:val="pl-PL"/>
              </w:rPr>
              <w:t>Jeigu tai yra patikėjimo teise valdomas turtas, toliau atliekamas 9 veiksmas.</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1F825775" w14:textId="77777777" w:rsidR="00A65B54" w:rsidRDefault="00000000">
            <w:pPr>
              <w:pStyle w:val="LEFT"/>
            </w:pPr>
            <w:r>
              <w:lastRenderedPageBreak/>
              <w:t>Tvirtintojas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661D8DA" w14:textId="77777777" w:rsidR="00A65B54" w:rsidRDefault="00000000">
            <w:pPr>
              <w:pStyle w:val="LEFT"/>
            </w:pPr>
            <w:r>
              <w:t>DVS</w:t>
            </w:r>
          </w:p>
          <w:p w14:paraId="52C9099F" w14:textId="7BD3C4DC" w:rsidR="00A65B54" w:rsidRDefault="00000000">
            <w:pPr>
              <w:pStyle w:val="LEFT"/>
            </w:pPr>
            <w:r>
              <w:br/>
            </w:r>
          </w:p>
        </w:tc>
      </w:tr>
      <w:tr w:rsidR="00A65B54" w14:paraId="76562838"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D5F5B93" w14:textId="77777777" w:rsidR="00A65B54" w:rsidRDefault="00000000">
            <w:pPr>
              <w:pStyle w:val="LEFT"/>
            </w:pPr>
            <w:r>
              <w:lastRenderedPageBreak/>
              <w:t>9. Pasirašyti sprendimą [DVS]</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1E48D6D8" w14:textId="77777777" w:rsidR="00A65B54" w:rsidRPr="00645DC8" w:rsidRDefault="00000000" w:rsidP="00645DC8">
            <w:pPr>
              <w:pStyle w:val="LEFT"/>
              <w:jc w:val="both"/>
              <w:rPr>
                <w:lang w:val="pl-PL"/>
              </w:rPr>
            </w:pPr>
            <w:r w:rsidRPr="00645DC8">
              <w:rPr>
                <w:lang w:val="pl-PL"/>
              </w:rPr>
              <w:t>Pasirašyti komisijos sekretoriaus parengtą sprendimą. Jei reikia organizuoti aukcioną - toliau vykdomas 10 veiksmas, jeigu ne- 11 veiksmas.</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B66D809" w14:textId="77777777" w:rsidR="00A65B54" w:rsidRDefault="00000000">
            <w:pPr>
              <w:pStyle w:val="LEFT"/>
            </w:pPr>
            <w:r>
              <w:t>Tvirtintojas (Verslo vieneto vadovas)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37ABA9E" w14:textId="77777777" w:rsidR="00A65B54" w:rsidRDefault="00000000">
            <w:pPr>
              <w:pStyle w:val="LEFT"/>
            </w:pPr>
            <w:r>
              <w:t>DVS</w:t>
            </w:r>
            <w:r>
              <w:br/>
            </w:r>
          </w:p>
        </w:tc>
      </w:tr>
      <w:tr w:rsidR="00A65B54" w14:paraId="58277E33"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251F0F7" w14:textId="77777777" w:rsidR="00A65B54" w:rsidRDefault="00000000">
            <w:pPr>
              <w:pStyle w:val="LEFT"/>
            </w:pPr>
            <w:r>
              <w:t>10. Vykdyti Tvirtintojo sprendimą</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C96210C" w14:textId="77777777" w:rsidR="00A65B54" w:rsidRDefault="00000000" w:rsidP="00645DC8">
            <w:pPr>
              <w:pStyle w:val="LEFT"/>
              <w:jc w:val="both"/>
            </w:pPr>
            <w:r>
              <w:t>Vykdyti komisijos sprendimą vadovaujantis  Viešosios geležinkelių infrastruktūros nuomos organizavimo priedu(1 priedas) arba Nuosavybės teise valdomo turto nuomos organizavimo priedu (2 priedas).</w:t>
            </w:r>
          </w:p>
          <w:p w14:paraId="267ECA17" w14:textId="77777777" w:rsidR="00A65B54" w:rsidRDefault="00A65B54" w:rsidP="00645DC8">
            <w:pPr>
              <w:pStyle w:val="LEFT"/>
              <w:jc w:val="both"/>
            </w:pPr>
          </w:p>
          <w:p w14:paraId="691B8A3A" w14:textId="77777777" w:rsidR="00A65B54" w:rsidRDefault="00000000" w:rsidP="00645DC8">
            <w:pPr>
              <w:pStyle w:val="LEFT"/>
              <w:jc w:val="both"/>
            </w:pPr>
            <w:r>
              <w:t>Jeigu laimėtojas nustatytas, toliau atliekamas 11 veiksmas.</w:t>
            </w:r>
          </w:p>
          <w:p w14:paraId="6092C3E9" w14:textId="77777777" w:rsidR="00A65B54" w:rsidRDefault="00000000" w:rsidP="00645DC8">
            <w:pPr>
              <w:pStyle w:val="LEFT"/>
              <w:jc w:val="both"/>
            </w:pPr>
            <w:r>
              <w:t xml:space="preserve">Jeigu laimėtojas nenustatytas ir reikia organizuoti nuomos </w:t>
            </w:r>
            <w:r>
              <w:lastRenderedPageBreak/>
              <w:t>pardavimą iš naujo, toliau atliekamas 4 veiksmas.</w:t>
            </w:r>
          </w:p>
          <w:p w14:paraId="7972B09C" w14:textId="77777777" w:rsidR="00A65B54" w:rsidRDefault="00000000" w:rsidP="00645DC8">
            <w:pPr>
              <w:pStyle w:val="LEFT"/>
              <w:jc w:val="both"/>
            </w:pPr>
            <w:r>
              <w:t>Jeigu laimėtojas nenustatytas ir nereikia organizuoti nuomos pardavimą iš naujo,proceso pabaiga</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FEE5140" w14:textId="77777777" w:rsidR="00A65B54" w:rsidRDefault="00000000">
            <w:pPr>
              <w:pStyle w:val="LEFT"/>
            </w:pPr>
            <w:r>
              <w:lastRenderedPageBreak/>
              <w:t>Sutarties administratorius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4AFD267" w14:textId="77777777" w:rsidR="00A65B54" w:rsidRDefault="00A65B54">
            <w:pPr>
              <w:pStyle w:val="LEFT"/>
            </w:pPr>
          </w:p>
        </w:tc>
      </w:tr>
      <w:tr w:rsidR="00A65B54" w14:paraId="412EF043"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E2160FC" w14:textId="77777777" w:rsidR="00A65B54" w:rsidRDefault="00000000">
            <w:pPr>
              <w:pStyle w:val="LEFT"/>
            </w:pPr>
            <w:r>
              <w:t>11. Įvertinti sandorio rizikingumo ir atitikties vertinimo procedūrų poreikį</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192AA6B" w14:textId="77777777" w:rsidR="00A65B54" w:rsidRDefault="00000000" w:rsidP="00645DC8">
            <w:pPr>
              <w:pStyle w:val="LEFT"/>
              <w:jc w:val="both"/>
            </w:pPr>
            <w:r>
              <w:t xml:space="preserve">Įvertina sandorio rizikingumo ir atitikties vertinimo procedūrų poreikį.   </w:t>
            </w:r>
          </w:p>
          <w:p w14:paraId="52A0A2E9" w14:textId="77777777" w:rsidR="00A65B54" w:rsidRDefault="00000000" w:rsidP="00645DC8">
            <w:pPr>
              <w:pStyle w:val="LEFT"/>
              <w:jc w:val="both"/>
            </w:pPr>
            <w:r>
              <w:t xml:space="preserve">1. Jei numatomas sandoris atitinka Inicijuojamų pirkimų ir sandorių atitikties nacionalinio saugumo interesams patikros proceso Nr.PS/FN13/LTG/20 standarte nurodytus kriterijus, siunčiama numatomą sandorį patikrai. Gavus neigiamą vertinimą, sutartis su laimėtoju nesudaroma, proceso pabaiga. Gavus teigiamą vertinimą arba NSK vertinimo nereikia, nustatoma, ar reikalingas JAR vertinimas.   </w:t>
            </w:r>
          </w:p>
          <w:p w14:paraId="7796AEE4" w14:textId="77777777" w:rsidR="00A65B54" w:rsidRDefault="00000000" w:rsidP="00645DC8">
            <w:pPr>
              <w:pStyle w:val="LEFT"/>
              <w:jc w:val="both"/>
            </w:pPr>
            <w:r>
              <w:t xml:space="preserve">Jeigu reikalingas JAR vertinimas -  vykdomas 13 veiksmas.   </w:t>
            </w:r>
          </w:p>
          <w:p w14:paraId="6AC05065" w14:textId="77777777" w:rsidR="00A65B54" w:rsidRDefault="00000000" w:rsidP="00645DC8">
            <w:pPr>
              <w:pStyle w:val="LEFT"/>
              <w:jc w:val="both"/>
            </w:pPr>
            <w:r>
              <w:t xml:space="preserve">Jeigu nereikalingas JAR, bet  sandoris turi nors vieną reikšmingo sandorio požymį, toliau vykdomas 14 veiksmas.  </w:t>
            </w:r>
          </w:p>
          <w:p w14:paraId="6ED91E5C" w14:textId="77777777" w:rsidR="00A65B54" w:rsidRDefault="00000000" w:rsidP="00645DC8">
            <w:pPr>
              <w:pStyle w:val="LEFT"/>
              <w:jc w:val="both"/>
            </w:pPr>
            <w:r>
              <w:t xml:space="preserve">Jeigu nereikalingas JAR ir  sandoris neturi nors vieno reikšmingo sandorio požymio, toliau vykdomas 15 veiksmas.   </w:t>
            </w:r>
          </w:p>
          <w:p w14:paraId="1A6EB04D" w14:textId="77777777" w:rsidR="00A65B54" w:rsidRDefault="00000000" w:rsidP="00645DC8">
            <w:pPr>
              <w:pStyle w:val="LEFT"/>
              <w:jc w:val="both"/>
            </w:pPr>
            <w:r>
              <w:t xml:space="preserve"> </w:t>
            </w:r>
          </w:p>
          <w:p w14:paraId="236E3DA3" w14:textId="77777777" w:rsidR="00A65B54" w:rsidRDefault="00A65B54" w:rsidP="00645DC8">
            <w:pPr>
              <w:pStyle w:val="LEFT"/>
              <w:jc w:val="both"/>
            </w:pPr>
          </w:p>
          <w:p w14:paraId="321A7B8D" w14:textId="177CDCC1" w:rsidR="00A65B54" w:rsidRDefault="00000000" w:rsidP="00645DC8">
            <w:pPr>
              <w:pStyle w:val="LEFT"/>
              <w:jc w:val="both"/>
            </w:pPr>
            <w:r>
              <w:t xml:space="preserve">2. Jeigu reikalingas JAR vertinimas -  vykdomas 13 veiksmas. . Gavus neigiamą vertinimą, sutartis su laimėtoju nesudaroma, proceso pabaiga. Gavus teigiamą vertinimą, jeigu sandoris turi nors vieną reikšmingo sandorio požymį, toliau vykdomas 14 veiksmas, jeigu neturi -15 veiksmas  </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D02A2A5" w14:textId="77777777" w:rsidR="00A65B54" w:rsidRDefault="00000000">
            <w:pPr>
              <w:pStyle w:val="LEFT"/>
            </w:pPr>
            <w:r>
              <w:t>Tvirtintojas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926664A" w14:textId="77777777" w:rsidR="00A65B54" w:rsidRDefault="00A65B54">
            <w:pPr>
              <w:pStyle w:val="LEFT"/>
            </w:pPr>
          </w:p>
        </w:tc>
      </w:tr>
      <w:tr w:rsidR="00A65B54" w14:paraId="3E93317B"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0C409D7" w14:textId="77777777" w:rsidR="00A65B54" w:rsidRDefault="00000000">
            <w:pPr>
              <w:pStyle w:val="LEFT"/>
            </w:pPr>
            <w:r>
              <w:t>12. Kreiptis dėl įvertinimo</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BBA4C3B" w14:textId="77777777" w:rsidR="00A65B54" w:rsidRDefault="00000000" w:rsidP="00645DC8">
            <w:pPr>
              <w:pStyle w:val="LEFT"/>
              <w:jc w:val="both"/>
            </w:pPr>
            <w:r>
              <w:t xml:space="preserve">Kai sandoris atitinka Juridinio - fizinio asmens patikros proceso Nr. PS/FN13/LTG/7 standarte nurodytus kriterijus, kreipiamasi į Verslo saugumą Juridinio / fizinio asmens rizikingumo patikrai, pateikiant užpildytą 1 priedo Juridinio - fizinio asmens patikros proceso formą. </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50B4614" w14:textId="77777777" w:rsidR="00A65B54" w:rsidRDefault="00000000">
            <w:pPr>
              <w:pStyle w:val="LEFT"/>
            </w:pPr>
            <w:r>
              <w:t>Tvirtintojas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C8C5484" w14:textId="77777777" w:rsidR="00A65B54" w:rsidRDefault="00A65B54">
            <w:pPr>
              <w:pStyle w:val="LEFT"/>
            </w:pPr>
          </w:p>
        </w:tc>
      </w:tr>
      <w:tr w:rsidR="00A65B54" w14:paraId="3E02C12A"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FDE1A3F" w14:textId="77777777" w:rsidR="00A65B54" w:rsidRDefault="00000000">
            <w:pPr>
              <w:pStyle w:val="LEFT"/>
            </w:pPr>
            <w:r>
              <w:t xml:space="preserve">13. Vertinti gautus </w:t>
            </w:r>
            <w:r>
              <w:lastRenderedPageBreak/>
              <w:t xml:space="preserve">atsakymus </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6A19F33" w14:textId="77777777" w:rsidR="00A65B54" w:rsidRDefault="00000000" w:rsidP="00645DC8">
            <w:pPr>
              <w:pStyle w:val="LEFT"/>
              <w:jc w:val="both"/>
            </w:pPr>
            <w:r>
              <w:lastRenderedPageBreak/>
              <w:t xml:space="preserve">Gavus Verslo saugumo rekomendaciją, priimamas sprendimas </w:t>
            </w:r>
            <w:r>
              <w:lastRenderedPageBreak/>
              <w:t>sudaryti / nesudaryti sandorį. Jeigu sutartis su laimėtoju nesudaroma, proceso pabaiga.</w:t>
            </w:r>
          </w:p>
          <w:p w14:paraId="31657033" w14:textId="77777777" w:rsidR="00A65B54" w:rsidRDefault="00000000" w:rsidP="00645DC8">
            <w:pPr>
              <w:pStyle w:val="LEFT"/>
              <w:jc w:val="both"/>
            </w:pPr>
            <w:r>
              <w:t xml:space="preserve">Gavus teigiamą vertinimą, jeigu sandoris turi nors vieną reikšmingo sandorio požymį, toliau vykdomas 14 veiksmas, jeigu neturi -15 veiksmas </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1B8E13FF" w14:textId="77777777" w:rsidR="00A65B54" w:rsidRDefault="00000000">
            <w:pPr>
              <w:pStyle w:val="LEFT"/>
            </w:pPr>
            <w:r>
              <w:lastRenderedPageBreak/>
              <w:t>Tvirtintojas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4A1CB58" w14:textId="77777777" w:rsidR="00A65B54" w:rsidRDefault="00A65B54">
            <w:pPr>
              <w:pStyle w:val="LEFT"/>
            </w:pPr>
          </w:p>
        </w:tc>
      </w:tr>
      <w:tr w:rsidR="00A65B54" w14:paraId="119C1F73"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AB94C11" w14:textId="77777777" w:rsidR="00A65B54" w:rsidRDefault="00000000">
            <w:pPr>
              <w:pStyle w:val="LEFT"/>
            </w:pPr>
            <w:r>
              <w:t>14. Pateikti sandorį Audito komitetui bei valdybai pritarimui</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1A7D98F" w14:textId="77777777" w:rsidR="00A65B54" w:rsidRDefault="00000000" w:rsidP="00645DC8">
            <w:pPr>
              <w:pStyle w:val="LEFT"/>
              <w:jc w:val="both"/>
            </w:pPr>
            <w:r>
              <w:t xml:space="preserve"> Pateikti sandorį Audito komitetui bei valdybai pritarimui.</w:t>
            </w:r>
          </w:p>
          <w:p w14:paraId="1F51EAF7" w14:textId="77777777" w:rsidR="00A65B54" w:rsidRDefault="00000000" w:rsidP="00645DC8">
            <w:pPr>
              <w:pStyle w:val="LEFT"/>
              <w:jc w:val="both"/>
            </w:pPr>
            <w:r>
              <w:t>Jeigu priimtas valdybos sprendimas yra neigiamas, proceso pabaiga.</w:t>
            </w:r>
          </w:p>
          <w:p w14:paraId="24AFB90F" w14:textId="2C2DA597" w:rsidR="00A65B54" w:rsidRDefault="00000000" w:rsidP="00645DC8">
            <w:pPr>
              <w:pStyle w:val="LEFT"/>
              <w:jc w:val="both"/>
            </w:pPr>
            <w:r>
              <w:t>Jeigu priimtas valdybos sprendimas yra teigiamas, toliau atliekamas 15 veiksmas</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45B43B1" w14:textId="77777777" w:rsidR="00A65B54" w:rsidRDefault="00000000">
            <w:pPr>
              <w:pStyle w:val="LEFT"/>
            </w:pPr>
            <w:r>
              <w:t>Tvirtintojas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C4080DB" w14:textId="77777777" w:rsidR="00A65B54" w:rsidRDefault="00A65B54">
            <w:pPr>
              <w:pStyle w:val="LEFT"/>
            </w:pPr>
          </w:p>
        </w:tc>
      </w:tr>
      <w:tr w:rsidR="00A65B54" w14:paraId="47B34B1E"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D6F3E51" w14:textId="77777777" w:rsidR="00A65B54" w:rsidRDefault="00000000">
            <w:pPr>
              <w:pStyle w:val="LEFT"/>
            </w:pPr>
            <w:r>
              <w:t>15. Parengti nuomos sutartį</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1FB68477" w14:textId="77777777" w:rsidR="00A65B54" w:rsidRDefault="00000000" w:rsidP="00645DC8">
            <w:pPr>
              <w:pStyle w:val="LEFT"/>
              <w:jc w:val="both"/>
            </w:pPr>
            <w:r>
              <w:t>Parengti nuomos sutartį, priskirti komunalines ir kitas paslaugas.</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32D6F84" w14:textId="6E3664A6" w:rsidR="00A65B54" w:rsidRDefault="00000000">
            <w:pPr>
              <w:pStyle w:val="LEFT"/>
            </w:pPr>
            <w:r>
              <w:t>Sutarties administratorius</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11BEF2D" w14:textId="77777777" w:rsidR="00A65B54" w:rsidRDefault="00A65B54">
            <w:pPr>
              <w:pStyle w:val="LEFT"/>
            </w:pPr>
          </w:p>
        </w:tc>
      </w:tr>
      <w:tr w:rsidR="00A65B54" w14:paraId="1CB11DB3"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4559976" w14:textId="77777777" w:rsidR="00A65B54" w:rsidRDefault="00000000">
            <w:pPr>
              <w:pStyle w:val="LEFT"/>
            </w:pPr>
            <w:r>
              <w:t xml:space="preserve">16. Parengti priėmimo-pardavimo aktą </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2ED1C5C" w14:textId="77777777" w:rsidR="00A65B54" w:rsidRDefault="00000000" w:rsidP="00645DC8">
            <w:pPr>
              <w:pStyle w:val="LEFT"/>
              <w:jc w:val="both"/>
            </w:pPr>
            <w:r>
              <w:t>1.Pasirašius ir užregistravus DVS nuomos sutartį parengiamas perdavimo-priėmimo aktas ir vykdomas Nuomojamo nekilnojamojo turto perdavimo–priėmimo procesas Nr.PS/FN1/TVPC/3.</w:t>
            </w:r>
          </w:p>
          <w:p w14:paraId="7D65BCC0" w14:textId="77777777" w:rsidR="00A65B54" w:rsidRDefault="00000000" w:rsidP="00645DC8">
            <w:pPr>
              <w:pStyle w:val="LEFT"/>
              <w:jc w:val="both"/>
            </w:pPr>
            <w:r>
              <w:t>2.Pasirašius perdavimo-priėmimo aktą nuomos sutartis , jei reikia, registruojama Registrų centre pagal Nekilnojamojo turto duomenų įregistravimo, išregistravimo paslaugos teikimo proces1.</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3070EF5" w14:textId="77777777" w:rsidR="00A65B54" w:rsidRDefault="00000000">
            <w:pPr>
              <w:pStyle w:val="LEFT"/>
            </w:pPr>
            <w:r>
              <w:t>Sutarties administratorius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0D59491" w14:textId="77777777" w:rsidR="00A65B54" w:rsidRDefault="00A65B54">
            <w:pPr>
              <w:pStyle w:val="LEFT"/>
            </w:pPr>
          </w:p>
        </w:tc>
      </w:tr>
      <w:tr w:rsidR="00A65B54" w14:paraId="59CF8FE8"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51CD1725" w14:textId="77777777" w:rsidR="00A65B54" w:rsidRDefault="00000000">
            <w:pPr>
              <w:pStyle w:val="LEFT"/>
            </w:pPr>
            <w:r>
              <w:t>17. Įvesti nuomos sutarties duomenis [RE-FX]</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3FDD7D8" w14:textId="77777777" w:rsidR="00A65B54" w:rsidRDefault="00000000" w:rsidP="00645DC8">
            <w:pPr>
              <w:pStyle w:val="LEFT"/>
              <w:jc w:val="both"/>
            </w:pPr>
            <w:r>
              <w:t>Pagal pasirašytą nuomos sutartį ir perdavimo-priėmimo aktą sistemoje atnaujinti ir įvesti nuomos sutarties duomenis.</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C4E631D" w14:textId="77777777" w:rsidR="00A65B54" w:rsidRDefault="00000000">
            <w:pPr>
              <w:pStyle w:val="LEFT"/>
            </w:pPr>
            <w:r>
              <w:t>Funkcinių duomenų valdytojas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63D5415" w14:textId="1047C456" w:rsidR="00A65B54" w:rsidRDefault="00000000">
            <w:pPr>
              <w:pStyle w:val="LEFT"/>
            </w:pPr>
            <w:r>
              <w:t>SAP S/4HANA: Flexible Real Estate Management</w:t>
            </w:r>
          </w:p>
        </w:tc>
      </w:tr>
      <w:tr w:rsidR="00A65B54" w14:paraId="2CE9ED4F"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AD08ECD" w14:textId="77777777" w:rsidR="00A65B54" w:rsidRDefault="00000000">
            <w:pPr>
              <w:pStyle w:val="LEFT"/>
            </w:pPr>
            <w:r>
              <w:t>18. Sukurti nuomos sutarties mokėjimų srautą [RE-FX]</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E0307F0" w14:textId="77777777" w:rsidR="00A65B54" w:rsidRDefault="00000000" w:rsidP="00645DC8">
            <w:pPr>
              <w:pStyle w:val="LEFT"/>
              <w:jc w:val="both"/>
            </w:pPr>
            <w:r>
              <w:t>Sukurti nuomos sutarties mokėjimų srautą sistemoje.</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55548E9A" w14:textId="77777777" w:rsidR="00A65B54" w:rsidRDefault="00000000">
            <w:pPr>
              <w:pStyle w:val="LEFT"/>
            </w:pPr>
            <w:r>
              <w:t>Funkcinių duomenų valdytojas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7EF9312" w14:textId="6710F304" w:rsidR="00A65B54" w:rsidRDefault="00000000">
            <w:pPr>
              <w:pStyle w:val="LEFT"/>
            </w:pPr>
            <w:r>
              <w:t>SAP S/4HANA: Flexible Real Estate Management</w:t>
            </w:r>
          </w:p>
        </w:tc>
      </w:tr>
      <w:tr w:rsidR="00A65B54" w14:paraId="65405662"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2541CC63" w14:textId="77777777" w:rsidR="00A65B54" w:rsidRDefault="00000000">
            <w:pPr>
              <w:pStyle w:val="LEFT"/>
            </w:pPr>
            <w:r>
              <w:t>19. Sukurti nuomos sutarties priminimus [RE-FX]</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84ABFE3" w14:textId="77777777" w:rsidR="00A65B54" w:rsidRDefault="00000000" w:rsidP="00645DC8">
            <w:pPr>
              <w:pStyle w:val="LEFT"/>
              <w:jc w:val="both"/>
            </w:pPr>
            <w:r>
              <w:t xml:space="preserve">Sukurti nuomos sutarties priminimus sistemoje. </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16B06413" w14:textId="77777777" w:rsidR="00A65B54" w:rsidRDefault="00000000">
            <w:pPr>
              <w:pStyle w:val="LEFT"/>
            </w:pPr>
            <w:r>
              <w:t>Funkcinių duomenų valdytojas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7FBE301" w14:textId="6204A3E8" w:rsidR="00A65B54" w:rsidRDefault="00000000">
            <w:pPr>
              <w:pStyle w:val="LEFT"/>
            </w:pPr>
            <w:r>
              <w:t>SAP S/4HANA: Flexible Real Estate Management</w:t>
            </w:r>
          </w:p>
        </w:tc>
      </w:tr>
      <w:tr w:rsidR="00A65B54" w14:paraId="3A3C7104" w14:textId="77777777">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03ED034" w14:textId="77777777" w:rsidR="00A65B54" w:rsidRDefault="00000000">
            <w:pPr>
              <w:pStyle w:val="LEFT"/>
            </w:pPr>
            <w:r>
              <w:t>20. Aktyvuoti sutartį [RE-FX]</w:t>
            </w:r>
          </w:p>
        </w:tc>
        <w:tc>
          <w:tcPr>
            <w:tcW w:w="22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4C65C98" w14:textId="77777777" w:rsidR="00A65B54" w:rsidRDefault="00000000" w:rsidP="00645DC8">
            <w:pPr>
              <w:pStyle w:val="LEFT"/>
              <w:jc w:val="both"/>
            </w:pPr>
            <w:r>
              <w:t xml:space="preserve">Aktyvuoti sutartį sistemoje. </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38DAF6E1" w14:textId="77777777" w:rsidR="00A65B54" w:rsidRDefault="00000000">
            <w:pPr>
              <w:pStyle w:val="LEFT"/>
            </w:pPr>
            <w:r>
              <w:t>Funkcinių duomenų valdytojas</w:t>
            </w:r>
            <w:r>
              <w:br/>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33DF067" w14:textId="37C0297E" w:rsidR="00A65B54" w:rsidRDefault="00000000">
            <w:pPr>
              <w:pStyle w:val="LEFT"/>
            </w:pPr>
            <w:r>
              <w:lastRenderedPageBreak/>
              <w:t xml:space="preserve">SAP S/4HANA: Flexible Real Estate </w:t>
            </w:r>
            <w:r>
              <w:lastRenderedPageBreak/>
              <w:t>Management</w:t>
            </w:r>
          </w:p>
        </w:tc>
      </w:tr>
    </w:tbl>
    <w:p w14:paraId="3BC878E0" w14:textId="77777777" w:rsidR="00A65B54" w:rsidRDefault="00A65B54">
      <w:pPr>
        <w:rPr>
          <w:rFonts w:ascii="Arial" w:eastAsia="Arial" w:hAnsi="Arial" w:cs="Arial"/>
          <w:color w:val="000000"/>
          <w:sz w:val="22"/>
        </w:rPr>
      </w:pPr>
    </w:p>
    <w:sectPr w:rsidR="00A65B54">
      <w:pgSz w:w="16838" w:h="11906" w:orient="landscape"/>
      <w:pgMar w:top="2835" w:right="1134"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0C743" w14:textId="77777777" w:rsidR="003524A2" w:rsidRDefault="003524A2">
      <w:r>
        <w:separator/>
      </w:r>
    </w:p>
  </w:endnote>
  <w:endnote w:type="continuationSeparator" w:id="0">
    <w:p w14:paraId="197D7CB6" w14:textId="77777777" w:rsidR="003524A2" w:rsidRDefault="0035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40D88" w14:textId="77777777" w:rsidR="00645DC8" w:rsidRDefault="00645DC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822A" w14:textId="77777777" w:rsidR="00645DC8" w:rsidRDefault="00645DC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2C22F" w14:textId="77777777" w:rsidR="00645DC8" w:rsidRDefault="00645D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7F8F1" w14:textId="77777777" w:rsidR="003524A2" w:rsidRDefault="003524A2">
      <w:r>
        <w:separator/>
      </w:r>
    </w:p>
  </w:footnote>
  <w:footnote w:type="continuationSeparator" w:id="0">
    <w:p w14:paraId="33CBAAA5" w14:textId="77777777" w:rsidR="003524A2" w:rsidRDefault="0035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F2A3E" w14:textId="77777777" w:rsidR="00645DC8" w:rsidRDefault="00645D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A65B54" w14:paraId="45D97556" w14:textId="77777777">
      <w:trPr>
        <w:jc w:val="center"/>
      </w:trPr>
      <w:tc>
        <w:tcPr>
          <w:tcW w:w="5000" w:type="pct"/>
          <w:gridSpan w:val="2"/>
          <w:tcBorders>
            <w:top w:val="nil"/>
            <w:left w:val="nil"/>
            <w:bottom w:val="nil"/>
            <w:right w:val="nil"/>
          </w:tcBorders>
          <w:shd w:val="clear" w:color="auto" w:fill="auto"/>
          <w:tcMar>
            <w:top w:w="45" w:type="dxa"/>
            <w:left w:w="108" w:type="dxa"/>
            <w:bottom w:w="45" w:type="dxa"/>
            <w:right w:w="108" w:type="dxa"/>
          </w:tcMar>
          <w:vAlign w:val="bottom"/>
        </w:tcPr>
        <w:p w14:paraId="296FECBA" w14:textId="77777777" w:rsidR="00A65B54" w:rsidRDefault="00000000">
          <w:pPr>
            <w:jc w:val="center"/>
            <w:rPr>
              <w:rFonts w:ascii="Arial" w:eastAsia="Arial" w:hAnsi="Arial" w:cs="Arial"/>
              <w:color w:val="000000"/>
              <w:sz w:val="22"/>
            </w:rPr>
          </w:pPr>
          <w:r>
            <w:rPr>
              <w:rFonts w:ascii="Arial" w:eastAsia="Arial" w:hAnsi="Arial" w:cs="Arial"/>
              <w:color w:val="000000"/>
              <w:sz w:val="22"/>
            </w:rPr>
            <w:fldChar w:fldCharType="begin"/>
          </w:r>
          <w:r>
            <w:rPr>
              <w:rFonts w:ascii="Arial" w:eastAsia="Arial" w:hAnsi="Arial" w:cs="Arial"/>
              <w:color w:val="000000"/>
              <w:sz w:val="22"/>
            </w:rPr>
            <w:instrText>PAGE</w:instrText>
          </w:r>
          <w:r>
            <w:rPr>
              <w:rFonts w:ascii="Arial" w:eastAsia="Arial" w:hAnsi="Arial" w:cs="Arial"/>
              <w:color w:val="000000"/>
              <w:sz w:val="22"/>
            </w:rPr>
            <w:fldChar w:fldCharType="separate"/>
          </w:r>
          <w:r>
            <w:rPr>
              <w:rFonts w:ascii="Arial" w:eastAsia="Arial" w:hAnsi="Arial" w:cs="Arial"/>
              <w:color w:val="000000"/>
              <w:sz w:val="22"/>
            </w:rPr>
            <w:t>1</w:t>
          </w:r>
          <w:r>
            <w:rPr>
              <w:rFonts w:ascii="Arial" w:eastAsia="Arial" w:hAnsi="Arial" w:cs="Arial"/>
              <w:color w:val="000000"/>
              <w:sz w:val="22"/>
            </w:rPr>
            <w:fldChar w:fldCharType="end"/>
          </w:r>
        </w:p>
      </w:tc>
    </w:tr>
    <w:tr w:rsidR="00A65B54" w14:paraId="45653E73" w14:textId="77777777">
      <w:tblPrEx>
        <w:jc w:val="left"/>
      </w:tblPrEx>
      <w:tc>
        <w:tcPr>
          <w:tcW w:w="25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42772EF2" w14:textId="77777777" w:rsidR="00A65B54" w:rsidRDefault="00491CEC">
          <w:pPr>
            <w:spacing w:line="240" w:lineRule="atLeast"/>
            <w:rPr>
              <w:rFonts w:ascii="Arial" w:eastAsia="Arial" w:hAnsi="Arial" w:cs="Arial"/>
              <w:color w:val="000000"/>
              <w:sz w:val="22"/>
            </w:rPr>
          </w:pPr>
          <w:r>
            <w:pict w14:anchorId="34317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pt;height:33pt;mso-position-horizontal:left;mso-position-horizontal-relative:char;mso-position-vertical:center;mso-position-vertical-relative:line" o:allowoverlap="f">
                <v:imagedata r:id="rId1" o:title=""/>
                <o:lock v:ext="edit" aspectratio="f"/>
              </v:shape>
            </w:pic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150D76C" w14:textId="2CA4543F" w:rsidR="00A65B54" w:rsidRDefault="00000000">
          <w:pPr>
            <w:spacing w:line="240" w:lineRule="atLeast"/>
            <w:rPr>
              <w:rFonts w:ascii="Arial" w:eastAsia="Arial" w:hAnsi="Arial" w:cs="Arial"/>
              <w:color w:val="000000"/>
              <w:sz w:val="22"/>
            </w:rPr>
          </w:pPr>
          <w:r>
            <w:rPr>
              <w:rFonts w:ascii="Arial" w:eastAsia="Arial" w:hAnsi="Arial" w:cs="Arial"/>
              <w:color w:val="000000"/>
              <w:sz w:val="22"/>
            </w:rPr>
            <w:t>AB “Lietuvos geležinkeliai”</w:t>
          </w:r>
          <w:r>
            <w:rPr>
              <w:rFonts w:ascii="Arial" w:eastAsia="Arial" w:hAnsi="Arial" w:cs="Arial"/>
              <w:color w:val="000000"/>
              <w:sz w:val="22"/>
            </w:rPr>
            <w:br/>
          </w:r>
          <w:r w:rsidR="00645DC8">
            <w:rPr>
              <w:rFonts w:ascii="Arial" w:eastAsia="Arial" w:hAnsi="Arial" w:cs="Arial"/>
              <w:color w:val="000000"/>
              <w:sz w:val="22"/>
            </w:rPr>
            <w:t>1. Pardavimai ir marketingas</w:t>
          </w:r>
        </w:p>
      </w:tc>
    </w:tr>
    <w:tr w:rsidR="00A65B54" w14:paraId="4C33793C" w14:textId="77777777">
      <w:tblPrEx>
        <w:jc w:val="left"/>
      </w:tblPrEx>
      <w:tc>
        <w:tcPr>
          <w:tcW w:w="25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58199120" w14:textId="328B98A4" w:rsidR="00A65B54" w:rsidRPr="00645DC8" w:rsidRDefault="00645DC8">
          <w:pPr>
            <w:spacing w:line="240" w:lineRule="atLeast"/>
            <w:rPr>
              <w:rFonts w:ascii="Arial" w:eastAsia="Arial" w:hAnsi="Arial" w:cs="Arial"/>
              <w:color w:val="000000"/>
              <w:sz w:val="22"/>
              <w:lang w:val="pl-PL"/>
            </w:rPr>
          </w:pPr>
          <w:r w:rsidRPr="00645DC8">
            <w:rPr>
              <w:rFonts w:ascii="Arial" w:eastAsia="Arial" w:hAnsi="Arial" w:cs="Arial"/>
              <w:color w:val="000000"/>
              <w:sz w:val="22"/>
              <w:lang w:val="pl-PL"/>
            </w:rPr>
            <w:t>1.5.2.4. Nekilnojamo turto nuomos paslaugos  pardavimo sutarties  sudarymo procesas</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7E1602C" w14:textId="77777777" w:rsidR="00A65B54" w:rsidRDefault="00000000">
          <w:pPr>
            <w:spacing w:line="240" w:lineRule="atLeast"/>
            <w:rPr>
              <w:rFonts w:ascii="Arial" w:eastAsia="Arial" w:hAnsi="Arial" w:cs="Arial"/>
              <w:color w:val="000000"/>
              <w:sz w:val="22"/>
            </w:rPr>
          </w:pPr>
          <w:r>
            <w:rPr>
              <w:rFonts w:ascii="Arial" w:eastAsia="Arial" w:hAnsi="Arial" w:cs="Arial"/>
              <w:color w:val="000000"/>
              <w:sz w:val="22"/>
            </w:rPr>
            <w:t>Versija 01</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FBE7" w14:textId="77777777" w:rsidR="00645DC8" w:rsidRDefault="00645DC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3"/>
      <w:gridCol w:w="7393"/>
    </w:tblGrid>
    <w:tr w:rsidR="00A65B54" w14:paraId="06D07775" w14:textId="77777777">
      <w:trPr>
        <w:jc w:val="center"/>
      </w:trPr>
      <w:tc>
        <w:tcPr>
          <w:tcW w:w="5000" w:type="pct"/>
          <w:gridSpan w:val="2"/>
          <w:tcBorders>
            <w:top w:val="nil"/>
            <w:left w:val="nil"/>
            <w:bottom w:val="nil"/>
            <w:right w:val="nil"/>
          </w:tcBorders>
          <w:shd w:val="clear" w:color="auto" w:fill="auto"/>
          <w:tcMar>
            <w:top w:w="45" w:type="dxa"/>
            <w:left w:w="108" w:type="dxa"/>
            <w:bottom w:w="45" w:type="dxa"/>
            <w:right w:w="108" w:type="dxa"/>
          </w:tcMar>
          <w:vAlign w:val="bottom"/>
        </w:tcPr>
        <w:p w14:paraId="4DA32508" w14:textId="77777777" w:rsidR="00A65B54" w:rsidRDefault="00000000">
          <w:pPr>
            <w:jc w:val="center"/>
            <w:rPr>
              <w:rFonts w:ascii="Arial" w:eastAsia="Arial" w:hAnsi="Arial" w:cs="Arial"/>
              <w:color w:val="000000"/>
              <w:sz w:val="22"/>
            </w:rPr>
          </w:pPr>
          <w:r>
            <w:rPr>
              <w:rFonts w:ascii="Arial" w:eastAsia="Arial" w:hAnsi="Arial" w:cs="Arial"/>
              <w:color w:val="000000"/>
              <w:sz w:val="22"/>
            </w:rPr>
            <w:fldChar w:fldCharType="begin"/>
          </w:r>
          <w:r>
            <w:rPr>
              <w:rFonts w:ascii="Arial" w:eastAsia="Arial" w:hAnsi="Arial" w:cs="Arial"/>
              <w:color w:val="000000"/>
              <w:sz w:val="22"/>
            </w:rPr>
            <w:instrText>PAGE</w:instrText>
          </w:r>
          <w:r>
            <w:rPr>
              <w:rFonts w:ascii="Arial" w:eastAsia="Arial" w:hAnsi="Arial" w:cs="Arial"/>
              <w:color w:val="000000"/>
              <w:sz w:val="22"/>
            </w:rPr>
            <w:fldChar w:fldCharType="separate"/>
          </w:r>
          <w:r>
            <w:rPr>
              <w:rFonts w:ascii="Arial" w:eastAsia="Arial" w:hAnsi="Arial" w:cs="Arial"/>
              <w:color w:val="000000"/>
              <w:sz w:val="22"/>
            </w:rPr>
            <w:t>10</w:t>
          </w:r>
          <w:r>
            <w:rPr>
              <w:rFonts w:ascii="Arial" w:eastAsia="Arial" w:hAnsi="Arial" w:cs="Arial"/>
              <w:color w:val="000000"/>
              <w:sz w:val="22"/>
            </w:rPr>
            <w:fldChar w:fldCharType="end"/>
          </w:r>
        </w:p>
      </w:tc>
    </w:tr>
    <w:tr w:rsidR="00A65B54" w14:paraId="5DDF974C" w14:textId="77777777">
      <w:tblPrEx>
        <w:jc w:val="left"/>
      </w:tblPrEx>
      <w:tc>
        <w:tcPr>
          <w:tcW w:w="25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068364ED" w14:textId="77777777" w:rsidR="00A65B54" w:rsidRDefault="00491CEC">
          <w:pPr>
            <w:spacing w:line="240" w:lineRule="atLeast"/>
            <w:rPr>
              <w:rFonts w:ascii="Arial" w:eastAsia="Arial" w:hAnsi="Arial" w:cs="Arial"/>
              <w:color w:val="000000"/>
              <w:sz w:val="22"/>
            </w:rPr>
          </w:pPr>
          <w:r>
            <w:pict w14:anchorId="685E4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5pt;height:33pt;mso-position-horizontal:left;mso-position-horizontal-relative:char;mso-position-vertical:center;mso-position-vertical-relative:line" o:allowoverlap="f">
                <v:imagedata r:id="rId1" o:title=""/>
                <o:lock v:ext="edit" aspectratio="f"/>
              </v:shape>
            </w:pic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9C38C05" w14:textId="63D07253" w:rsidR="00A65B54" w:rsidRDefault="00000000">
          <w:pPr>
            <w:spacing w:line="240" w:lineRule="atLeast"/>
            <w:rPr>
              <w:rFonts w:ascii="Arial" w:eastAsia="Arial" w:hAnsi="Arial" w:cs="Arial"/>
              <w:color w:val="000000"/>
              <w:sz w:val="22"/>
            </w:rPr>
          </w:pPr>
          <w:r>
            <w:rPr>
              <w:rFonts w:ascii="Arial" w:eastAsia="Arial" w:hAnsi="Arial" w:cs="Arial"/>
              <w:color w:val="000000"/>
              <w:sz w:val="22"/>
            </w:rPr>
            <w:t>AB “Lietuvos geležinkeliai”</w:t>
          </w:r>
          <w:r>
            <w:rPr>
              <w:rFonts w:ascii="Arial" w:eastAsia="Arial" w:hAnsi="Arial" w:cs="Arial"/>
              <w:color w:val="000000"/>
              <w:sz w:val="22"/>
            </w:rPr>
            <w:br/>
          </w:r>
          <w:r w:rsidR="00645DC8">
            <w:rPr>
              <w:rFonts w:ascii="Arial" w:eastAsia="Arial" w:hAnsi="Arial" w:cs="Arial"/>
              <w:color w:val="000000"/>
              <w:sz w:val="22"/>
            </w:rPr>
            <w:t>1. Pardavimai ir marketingas</w:t>
          </w:r>
        </w:p>
      </w:tc>
    </w:tr>
    <w:tr w:rsidR="00645DC8" w14:paraId="61C672EC" w14:textId="77777777">
      <w:tblPrEx>
        <w:jc w:val="left"/>
      </w:tblPrEx>
      <w:tc>
        <w:tcPr>
          <w:tcW w:w="25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65BC25A2" w14:textId="56A69753" w:rsidR="00645DC8" w:rsidRPr="00645DC8" w:rsidRDefault="00645DC8" w:rsidP="00645DC8">
          <w:pPr>
            <w:spacing w:line="240" w:lineRule="atLeast"/>
            <w:rPr>
              <w:rFonts w:ascii="Arial" w:eastAsia="Arial" w:hAnsi="Arial" w:cs="Arial"/>
              <w:color w:val="000000"/>
              <w:sz w:val="22"/>
              <w:lang w:val="pl-PL"/>
            </w:rPr>
          </w:pPr>
          <w:r w:rsidRPr="00645DC8">
            <w:rPr>
              <w:rFonts w:ascii="Arial" w:eastAsia="Arial" w:hAnsi="Arial" w:cs="Arial"/>
              <w:color w:val="000000"/>
              <w:sz w:val="22"/>
              <w:lang w:val="pl-PL"/>
            </w:rPr>
            <w:t>1.5.2.4. Nekilnojamo turto nuomos paslaugos  pardavimo sutarties  sudarymo procesas</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45" w:type="dxa"/>
            <w:left w:w="108" w:type="dxa"/>
            <w:bottom w:w="45" w:type="dxa"/>
            <w:right w:w="108" w:type="dxa"/>
          </w:tcMar>
        </w:tcPr>
        <w:p w14:paraId="7DFCAEAF" w14:textId="77777777" w:rsidR="00645DC8" w:rsidRDefault="00645DC8" w:rsidP="00645DC8">
          <w:pPr>
            <w:spacing w:line="240" w:lineRule="atLeast"/>
            <w:rPr>
              <w:rFonts w:ascii="Arial" w:eastAsia="Arial" w:hAnsi="Arial" w:cs="Arial"/>
              <w:color w:val="000000"/>
              <w:sz w:val="22"/>
            </w:rPr>
          </w:pPr>
          <w:r>
            <w:rPr>
              <w:rFonts w:ascii="Arial" w:eastAsia="Arial" w:hAnsi="Arial" w:cs="Arial"/>
              <w:color w:val="000000"/>
              <w:sz w:val="22"/>
            </w:rPr>
            <w:t>Versija 01</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Antrat1"/>
      <w:lvlText w:val="%1."/>
      <w:lvlJc w:val="left"/>
      <w:pPr>
        <w:tabs>
          <w:tab w:val="num" w:pos="360"/>
        </w:tabs>
        <w:ind w:left="360" w:hanging="360"/>
      </w:pPr>
    </w:lvl>
    <w:lvl w:ilvl="1">
      <w:start w:val="1"/>
      <w:numFmt w:val="decimal"/>
      <w:pStyle w:val="Antrat2"/>
      <w:lvlText w:val="%1.%2."/>
      <w:lvlJc w:val="left"/>
      <w:pPr>
        <w:tabs>
          <w:tab w:val="num" w:pos="792"/>
        </w:tabs>
        <w:ind w:left="792" w:hanging="432"/>
      </w:pPr>
    </w:lvl>
    <w:lvl w:ilvl="2">
      <w:start w:val="1"/>
      <w:numFmt w:val="decimal"/>
      <w:pStyle w:val="Antrat3"/>
      <w:lvlText w:val="%1.%2.%3."/>
      <w:lvlJc w:val="left"/>
      <w:pPr>
        <w:tabs>
          <w:tab w:val="num" w:pos="1440"/>
        </w:tabs>
        <w:ind w:left="1224" w:hanging="504"/>
      </w:pPr>
    </w:lvl>
    <w:lvl w:ilvl="3">
      <w:start w:val="1"/>
      <w:numFmt w:val="decimal"/>
      <w:pStyle w:val="Antrat4"/>
      <w:lvlText w:val="%1.%2.%3.%4."/>
      <w:lvlJc w:val="left"/>
      <w:pPr>
        <w:tabs>
          <w:tab w:val="num" w:pos="1800"/>
        </w:tabs>
        <w:ind w:left="1728" w:hanging="648"/>
      </w:pPr>
    </w:lvl>
    <w:lvl w:ilvl="4">
      <w:start w:val="1"/>
      <w:numFmt w:val="decimal"/>
      <w:pStyle w:val="Antrat5"/>
      <w:lvlText w:val="%1.%2.%3.%4.%5."/>
      <w:lvlJc w:val="left"/>
      <w:pPr>
        <w:tabs>
          <w:tab w:val="num" w:pos="2520"/>
        </w:tabs>
        <w:ind w:left="2232" w:hanging="792"/>
      </w:pPr>
    </w:lvl>
    <w:lvl w:ilvl="5">
      <w:start w:val="1"/>
      <w:numFmt w:val="decimal"/>
      <w:pStyle w:val="Antrat6"/>
      <w:lvlText w:val="%1.%2.%3.%4.%5.%6."/>
      <w:lvlJc w:val="left"/>
      <w:pPr>
        <w:tabs>
          <w:tab w:val="num" w:pos="2880"/>
        </w:tabs>
        <w:ind w:left="2736" w:hanging="936"/>
      </w:pPr>
    </w:lvl>
    <w:lvl w:ilvl="6">
      <w:start w:val="1"/>
      <w:numFmt w:val="decimal"/>
      <w:pStyle w:val="Antrat7"/>
      <w:lvlText w:val="%1.%2.%3.%4.%5.%6.%7."/>
      <w:lvlJc w:val="left"/>
      <w:pPr>
        <w:tabs>
          <w:tab w:val="num" w:pos="3600"/>
        </w:tabs>
        <w:ind w:left="3240" w:hanging="1080"/>
      </w:pPr>
    </w:lvl>
    <w:lvl w:ilvl="7">
      <w:start w:val="1"/>
      <w:numFmt w:val="decimal"/>
      <w:pStyle w:val="Antrat8"/>
      <w:lvlText w:val="%1.%2.%3.%4.%5.%6.%7.%8."/>
      <w:lvlJc w:val="left"/>
      <w:pPr>
        <w:tabs>
          <w:tab w:val="num" w:pos="3960"/>
        </w:tabs>
        <w:ind w:left="3744" w:hanging="1224"/>
      </w:pPr>
    </w:lvl>
    <w:lvl w:ilvl="8">
      <w:start w:val="1"/>
      <w:numFmt w:val="decimal"/>
      <w:pStyle w:val="Antrat9"/>
      <w:lvlText w:val="%1.%2.%3.%4.%5.%6.%7.%8.%9."/>
      <w:lvlJc w:val="left"/>
      <w:pPr>
        <w:tabs>
          <w:tab w:val="num" w:pos="4680"/>
        </w:tabs>
        <w:ind w:left="4320" w:hanging="1440"/>
      </w:pPr>
    </w:lvl>
  </w:abstractNum>
  <w:num w:numId="1" w16cid:durableId="9745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36D1"/>
    <w:rsid w:val="001F64A1"/>
    <w:rsid w:val="003524A2"/>
    <w:rsid w:val="003E0494"/>
    <w:rsid w:val="00434433"/>
    <w:rsid w:val="00440943"/>
    <w:rsid w:val="00487DC3"/>
    <w:rsid w:val="00491CEC"/>
    <w:rsid w:val="00645DC8"/>
    <w:rsid w:val="006E04D0"/>
    <w:rsid w:val="00A65B54"/>
    <w:rsid w:val="00A77B3E"/>
    <w:rsid w:val="00CA2A55"/>
    <w:rsid w:val="00D30222"/>
    <w:rsid w:val="00EE3EF9"/>
    <w:rsid w:val="00F26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CD5F8"/>
  <w15:docId w15:val="{5AAEF73F-538A-4479-B8F7-CDD30CED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rsid w:val="00EF7B96"/>
    <w:pPr>
      <w:keepNext/>
      <w:numPr>
        <w:numId w:val="1"/>
      </w:numPr>
      <w:spacing w:before="240" w:after="60"/>
      <w:outlineLvl w:val="0"/>
    </w:pPr>
    <w:rPr>
      <w:rFonts w:ascii="Arial" w:hAnsi="Arial" w:cs="Arial"/>
      <w:b/>
      <w:bCs/>
      <w:kern w:val="32"/>
      <w:sz w:val="32"/>
      <w:szCs w:val="32"/>
    </w:rPr>
  </w:style>
  <w:style w:type="paragraph" w:styleId="Antrat2">
    <w:name w:val="heading 2"/>
    <w:basedOn w:val="prastasis"/>
    <w:next w:val="prastasis"/>
    <w:qFormat/>
    <w:rsid w:val="00EF7B96"/>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rsid w:val="00EF7B96"/>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EF7B96"/>
    <w:pPr>
      <w:keepNext/>
      <w:numPr>
        <w:ilvl w:val="3"/>
        <w:numId w:val="1"/>
      </w:numPr>
      <w:spacing w:before="240" w:after="60"/>
      <w:outlineLvl w:val="3"/>
    </w:pPr>
    <w:rPr>
      <w:b/>
      <w:bCs/>
      <w:sz w:val="28"/>
      <w:szCs w:val="28"/>
    </w:rPr>
  </w:style>
  <w:style w:type="paragraph" w:styleId="Antrat5">
    <w:name w:val="heading 5"/>
    <w:basedOn w:val="prastasis"/>
    <w:next w:val="prastasis"/>
    <w:qFormat/>
    <w:rsid w:val="00EF7B96"/>
    <w:pPr>
      <w:numPr>
        <w:ilvl w:val="4"/>
        <w:numId w:val="1"/>
      </w:numPr>
      <w:spacing w:before="240" w:after="60"/>
      <w:outlineLvl w:val="4"/>
    </w:pPr>
    <w:rPr>
      <w:b/>
      <w:bCs/>
      <w:i/>
      <w:iCs/>
      <w:sz w:val="26"/>
      <w:szCs w:val="26"/>
    </w:rPr>
  </w:style>
  <w:style w:type="paragraph" w:styleId="Antrat6">
    <w:name w:val="heading 6"/>
    <w:basedOn w:val="prastasis"/>
    <w:next w:val="prastasis"/>
    <w:qFormat/>
    <w:rsid w:val="00EF7B96"/>
    <w:pPr>
      <w:numPr>
        <w:ilvl w:val="5"/>
        <w:numId w:val="1"/>
      </w:numPr>
      <w:spacing w:before="240" w:after="60"/>
      <w:outlineLvl w:val="5"/>
    </w:pPr>
    <w:rPr>
      <w:b/>
      <w:bCs/>
      <w:sz w:val="22"/>
      <w:szCs w:val="22"/>
    </w:rPr>
  </w:style>
  <w:style w:type="paragraph" w:styleId="Antrat7">
    <w:name w:val="heading 7"/>
    <w:basedOn w:val="prastasis"/>
    <w:next w:val="prastasis"/>
    <w:qFormat/>
    <w:rsid w:val="00EF7B96"/>
    <w:pPr>
      <w:numPr>
        <w:ilvl w:val="6"/>
        <w:numId w:val="1"/>
      </w:numPr>
      <w:spacing w:before="240" w:after="60"/>
      <w:outlineLvl w:val="6"/>
    </w:pPr>
  </w:style>
  <w:style w:type="paragraph" w:styleId="Antrat8">
    <w:name w:val="heading 8"/>
    <w:basedOn w:val="prastasis"/>
    <w:next w:val="prastasis"/>
    <w:qFormat/>
    <w:rsid w:val="00EF7B96"/>
    <w:pPr>
      <w:numPr>
        <w:ilvl w:val="7"/>
        <w:numId w:val="1"/>
      </w:numPr>
      <w:spacing w:before="240" w:after="60"/>
      <w:outlineLvl w:val="7"/>
    </w:pPr>
    <w:rPr>
      <w:i/>
      <w:iCs/>
    </w:rPr>
  </w:style>
  <w:style w:type="paragraph" w:styleId="Antrat9">
    <w:name w:val="heading 9"/>
    <w:basedOn w:val="prastasis"/>
    <w:next w:val="prastasis"/>
    <w:qFormat/>
    <w:rsid w:val="00EF7B96"/>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OPHEAD">
    <w:name w:val="TOP_HEAD"/>
    <w:pPr>
      <w:jc w:val="center"/>
    </w:pPr>
    <w:rPr>
      <w:rFonts w:ascii="Arial" w:eastAsia="Arial" w:hAnsi="Arial" w:cs="Arial"/>
      <w:b/>
      <w:color w:val="000000"/>
      <w:sz w:val="22"/>
      <w:shd w:val="clear" w:color="auto" w:fill="DEEAF6"/>
    </w:rPr>
  </w:style>
  <w:style w:type="paragraph" w:customStyle="1" w:styleId="LEFTHEAD">
    <w:name w:val="LEFT_HEAD"/>
    <w:rPr>
      <w:rFonts w:ascii="Arial" w:eastAsia="Arial" w:hAnsi="Arial" w:cs="Arial"/>
      <w:b/>
      <w:color w:val="000000"/>
      <w:sz w:val="22"/>
      <w:shd w:val="clear" w:color="auto" w:fill="DEEAF6"/>
    </w:rPr>
  </w:style>
  <w:style w:type="paragraph" w:customStyle="1" w:styleId="LEFT">
    <w:name w:val="LEFT"/>
    <w:rPr>
      <w:rFonts w:ascii="Arial" w:eastAsia="Arial" w:hAnsi="Arial" w:cs="Arial"/>
      <w:color w:val="000000"/>
      <w:sz w:val="22"/>
    </w:rPr>
  </w:style>
  <w:style w:type="paragraph" w:customStyle="1" w:styleId="LEFTVCENTER">
    <w:name w:val="LEFT_VCENTER"/>
    <w:rPr>
      <w:rFonts w:ascii="Arial" w:eastAsia="Arial" w:hAnsi="Arial" w:cs="Arial"/>
      <w:color w:val="000000"/>
      <w:sz w:val="22"/>
    </w:rPr>
  </w:style>
  <w:style w:type="paragraph" w:styleId="Antrats">
    <w:name w:val="header"/>
    <w:basedOn w:val="prastasis"/>
    <w:link w:val="AntratsDiagrama"/>
    <w:rsid w:val="00645DC8"/>
    <w:pPr>
      <w:tabs>
        <w:tab w:val="center" w:pos="4819"/>
        <w:tab w:val="right" w:pos="9638"/>
      </w:tabs>
    </w:pPr>
  </w:style>
  <w:style w:type="character" w:customStyle="1" w:styleId="AntratsDiagrama">
    <w:name w:val="Antraštės Diagrama"/>
    <w:basedOn w:val="Numatytasispastraiposriftas"/>
    <w:link w:val="Antrats"/>
    <w:rsid w:val="00645DC8"/>
    <w:rPr>
      <w:sz w:val="24"/>
      <w:szCs w:val="24"/>
    </w:rPr>
  </w:style>
  <w:style w:type="paragraph" w:styleId="Porat">
    <w:name w:val="footer"/>
    <w:basedOn w:val="prastasis"/>
    <w:link w:val="PoratDiagrama"/>
    <w:rsid w:val="00645DC8"/>
    <w:pPr>
      <w:tabs>
        <w:tab w:val="center" w:pos="4819"/>
        <w:tab w:val="right" w:pos="9638"/>
      </w:tabs>
    </w:pPr>
  </w:style>
  <w:style w:type="character" w:customStyle="1" w:styleId="PoratDiagrama">
    <w:name w:val="Poraštė Diagrama"/>
    <w:basedOn w:val="Numatytasispastraiposriftas"/>
    <w:link w:val="Porat"/>
    <w:rsid w:val="00645D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574840">
      <w:bodyDiv w:val="1"/>
      <w:marLeft w:val="0"/>
      <w:marRight w:val="0"/>
      <w:marTop w:val="0"/>
      <w:marBottom w:val="0"/>
      <w:divBdr>
        <w:top w:val="none" w:sz="0" w:space="0" w:color="auto"/>
        <w:left w:val="none" w:sz="0" w:space="0" w:color="auto"/>
        <w:bottom w:val="none" w:sz="0" w:space="0" w:color="auto"/>
        <w:right w:val="none" w:sz="0" w:space="0" w:color="auto"/>
      </w:divBdr>
    </w:div>
    <w:div w:id="868448241">
      <w:bodyDiv w:val="1"/>
      <w:marLeft w:val="0"/>
      <w:marRight w:val="0"/>
      <w:marTop w:val="0"/>
      <w:marBottom w:val="0"/>
      <w:divBdr>
        <w:top w:val="none" w:sz="0" w:space="0" w:color="auto"/>
        <w:left w:val="none" w:sz="0" w:space="0" w:color="auto"/>
        <w:bottom w:val="none" w:sz="0" w:space="0" w:color="auto"/>
        <w:right w:val="none" w:sz="0" w:space="0" w:color="auto"/>
      </w:divBdr>
    </w:div>
    <w:div w:id="2009752161">
      <w:bodyDiv w:val="1"/>
      <w:marLeft w:val="0"/>
      <w:marRight w:val="0"/>
      <w:marTop w:val="0"/>
      <w:marBottom w:val="0"/>
      <w:divBdr>
        <w:top w:val="none" w:sz="0" w:space="0" w:color="auto"/>
        <w:left w:val="none" w:sz="0" w:space="0" w:color="auto"/>
        <w:bottom w:val="none" w:sz="0" w:space="0" w:color="auto"/>
        <w:right w:val="none" w:sz="0" w:space="0" w:color="auto"/>
      </w:divBdr>
    </w:div>
    <w:div w:id="2061514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tg.ariscloud.com:443/documents/rest/v2/data/0/0/-/d4822d6b-46f8-4e37-b159-7fb6309acb9f?tenant=default&amp;revision=-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tg.ariscloud.com:443/documents/rest/v2/data/0/0/-/6a7650f5-2437-49df-815b-f28385af4448?tenant=default&amp;revision=-1"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9957</Words>
  <Characters>5676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Akvilė Rusonė</cp:lastModifiedBy>
  <cp:revision>5</cp:revision>
  <dcterms:created xsi:type="dcterms:W3CDTF">2024-06-26T15:17:00Z</dcterms:created>
  <dcterms:modified xsi:type="dcterms:W3CDTF">2024-06-27T06:39:00Z</dcterms:modified>
</cp:coreProperties>
</file>